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DF0473" w:rsidRPr="008244B8" w:rsidP="00C15876" w14:paraId="4B0011B4" w14:textId="2245111F">
      <w:pPr>
        <w:spacing w:line="360" w:lineRule="auto"/>
        <w:jc w:val="right"/>
        <w:rPr>
          <w:rFonts w:ascii="Times New Roman" w:hAnsi="Times New Roman" w:cs="Times New Roman"/>
          <w:b/>
          <w:bCs/>
          <w:sz w:val="24"/>
          <w:szCs w:val="24"/>
        </w:rPr>
      </w:pPr>
      <w:r>
        <w:rPr>
          <w:noProof/>
        </w:rPr>
        <w:drawing>
          <wp:inline distT="0" distB="0" distL="0" distR="0">
            <wp:extent cx="996950" cy="462280"/>
            <wp:effectExtent l="0" t="0" r="0" b="0"/>
            <wp:docPr id="454311432"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11432" name="Picture 1" descr="A blue and white logo&#10;&#10;Description automatically generated"/>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996950" cy="462280"/>
                    </a:xfrm>
                    <a:prstGeom prst="rect">
                      <a:avLst/>
                    </a:prstGeom>
                    <a:noFill/>
                    <a:ln>
                      <a:noFill/>
                    </a:ln>
                  </pic:spPr>
                </pic:pic>
              </a:graphicData>
            </a:graphic>
          </wp:inline>
        </w:drawing>
      </w:r>
    </w:p>
    <w:tbl>
      <w:tblPr>
        <w:tblW w:w="5039" w:type="pc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2356"/>
        <w:gridCol w:w="1903"/>
        <w:gridCol w:w="586"/>
        <w:gridCol w:w="2220"/>
        <w:gridCol w:w="2358"/>
      </w:tblGrid>
      <w:tr w14:paraId="63C42CBB" w14:textId="77777777" w:rsidTr="00C15876">
        <w:tblPrEx>
          <w:tblW w:w="5039" w:type="pct"/>
          <w:tblInd w:w="135" w:type="dxa"/>
          <w:tblLook w:val="04A0"/>
        </w:tblPrEx>
        <w:trPr>
          <w:trHeight w:val="52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A3E1"/>
            <w:hideMark/>
          </w:tcPr>
          <w:p w:rsidR="00C15876" w:rsidRPr="00C15876" w:rsidP="00C15876" w14:paraId="21340583"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Please tick whether you are submitting a draft or your summative assessment:</w:t>
            </w:r>
          </w:p>
        </w:tc>
      </w:tr>
      <w:tr w14:paraId="7E8FC532" w14:textId="77777777" w:rsidTr="00C15876">
        <w:tblPrEx>
          <w:tblW w:w="5039" w:type="pct"/>
          <w:tblInd w:w="135" w:type="dxa"/>
          <w:tblLook w:val="04A0"/>
        </w:tblPrEx>
        <w:trPr>
          <w:trHeight w:val="521"/>
        </w:trPr>
        <w:tc>
          <w:tcPr>
            <w:tcW w:w="1250" w:type="pct"/>
            <w:tcBorders>
              <w:top w:val="single" w:sz="4" w:space="0" w:color="000000"/>
              <w:left w:val="single" w:sz="4" w:space="0" w:color="000000"/>
              <w:bottom w:val="single" w:sz="4" w:space="0" w:color="000000"/>
              <w:right w:val="single" w:sz="4" w:space="0" w:color="000000"/>
            </w:tcBorders>
            <w:hideMark/>
          </w:tcPr>
          <w:p w:rsidR="00C15876" w:rsidRPr="00C15876" w:rsidP="00C15876" w14:paraId="77F50056"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Draft</w:t>
            </w:r>
          </w:p>
        </w:tc>
        <w:tc>
          <w:tcPr>
            <w:tcW w:w="1321" w:type="pct"/>
            <w:gridSpan w:val="2"/>
            <w:tcBorders>
              <w:top w:val="single" w:sz="4" w:space="0" w:color="000000"/>
              <w:left w:val="single" w:sz="4" w:space="0" w:color="000000"/>
              <w:bottom w:val="single" w:sz="4" w:space="0" w:color="000000"/>
              <w:right w:val="single" w:sz="4" w:space="0" w:color="000000"/>
            </w:tcBorders>
            <w:hideMark/>
          </w:tcPr>
          <w:sdt>
            <w:sdtPr>
              <w:rPr>
                <w:rFonts w:ascii="Times New Roman" w:hAnsi="Times New Roman" w:cs="Times New Roman"/>
                <w:b/>
                <w:bCs/>
                <w:sz w:val="24"/>
                <w:szCs w:val="24"/>
              </w:rPr>
              <w:id w:val="-1320651044"/>
              <w14:checkbox>
                <w14:checked w14:val="1"/>
                <w14:checkedState w14:val="2612" w14:font="MS Gothic"/>
                <w14:uncheckedState w14:val="2610" w14:font="MS Gothic"/>
              </w14:checkbox>
            </w:sdtPr>
            <w:sdtContent>
              <w:p w:rsidR="00C15876" w:rsidRPr="00C15876" w:rsidP="00C15876" w14:paraId="0D1ACD7E" w14:textId="77777777">
                <w:pPr>
                  <w:spacing w:line="360" w:lineRule="auto"/>
                  <w:rPr>
                    <w:rFonts w:ascii="Times New Roman" w:hAnsi="Times New Roman" w:cs="Times New Roman"/>
                    <w:b/>
                    <w:bCs/>
                    <w:sz w:val="24"/>
                    <w:szCs w:val="24"/>
                  </w:rPr>
                </w:pPr>
                <w:r w:rsidRPr="00C15876">
                  <w:rPr>
                    <w:rFonts w:ascii="Segoe UI Symbol" w:hAnsi="Segoe UI Symbol" w:cs="Segoe UI Symbol"/>
                    <w:b/>
                    <w:bCs/>
                    <w:sz w:val="24"/>
                    <w:szCs w:val="24"/>
                  </w:rPr>
                  <w:t>☒</w:t>
                </w:r>
              </w:p>
            </w:sdtContent>
          </w:sdt>
        </w:tc>
        <w:tc>
          <w:tcPr>
            <w:tcW w:w="1178" w:type="pct"/>
            <w:tcBorders>
              <w:top w:val="single" w:sz="4" w:space="0" w:color="000000"/>
              <w:left w:val="single" w:sz="4" w:space="0" w:color="000000"/>
              <w:bottom w:val="single" w:sz="4" w:space="0" w:color="000000"/>
              <w:right w:val="single" w:sz="4" w:space="0" w:color="000000"/>
            </w:tcBorders>
            <w:hideMark/>
          </w:tcPr>
          <w:p w:rsidR="00C15876" w:rsidRPr="00C15876" w:rsidP="00C15876" w14:paraId="584A2421"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Summative</w:t>
            </w:r>
          </w:p>
        </w:tc>
        <w:tc>
          <w:tcPr>
            <w:tcW w:w="1251" w:type="pct"/>
            <w:tcBorders>
              <w:top w:val="single" w:sz="4" w:space="0" w:color="000000"/>
              <w:left w:val="single" w:sz="4" w:space="0" w:color="000000"/>
              <w:bottom w:val="single" w:sz="4" w:space="0" w:color="000000"/>
              <w:right w:val="single" w:sz="4" w:space="0" w:color="000000"/>
            </w:tcBorders>
            <w:hideMark/>
          </w:tcPr>
          <w:sdt>
            <w:sdtPr>
              <w:rPr>
                <w:rFonts w:ascii="Times New Roman" w:hAnsi="Times New Roman" w:cs="Times New Roman"/>
                <w:b/>
                <w:bCs/>
                <w:sz w:val="24"/>
                <w:szCs w:val="24"/>
              </w:rPr>
              <w:id w:val="1150640092"/>
              <w14:checkbox>
                <w14:checked w14:val="0"/>
                <w14:checkedState w14:val="2612" w14:font="MS Gothic"/>
                <w14:uncheckedState w14:val="2610" w14:font="MS Gothic"/>
              </w14:checkbox>
            </w:sdtPr>
            <w:sdtContent>
              <w:p w:rsidR="00C15876" w:rsidRPr="00C15876" w:rsidP="00C15876" w14:paraId="2F58D929" w14:textId="77777777">
                <w:pPr>
                  <w:spacing w:line="360" w:lineRule="auto"/>
                  <w:rPr>
                    <w:rFonts w:ascii="Times New Roman" w:hAnsi="Times New Roman" w:cs="Times New Roman"/>
                    <w:b/>
                    <w:bCs/>
                    <w:sz w:val="24"/>
                    <w:szCs w:val="24"/>
                  </w:rPr>
                </w:pPr>
                <w:r w:rsidRPr="00C15876">
                  <w:rPr>
                    <w:rFonts w:ascii="Segoe UI Symbol" w:hAnsi="Segoe UI Symbol" w:cs="Segoe UI Symbol"/>
                    <w:b/>
                    <w:bCs/>
                    <w:sz w:val="24"/>
                    <w:szCs w:val="24"/>
                  </w:rPr>
                  <w:t>☐</w:t>
                </w:r>
              </w:p>
            </w:sdtContent>
          </w:sdt>
        </w:tc>
      </w:tr>
      <w:tr w14:paraId="00867704" w14:textId="77777777" w:rsidTr="00C15876">
        <w:tblPrEx>
          <w:tblW w:w="5039" w:type="pct"/>
          <w:tblInd w:w="135" w:type="dxa"/>
          <w:tblLook w:val="04A0"/>
        </w:tblPrEx>
        <w:trPr>
          <w:trHeight w:val="521"/>
        </w:trPr>
        <w:tc>
          <w:tcPr>
            <w:tcW w:w="5000" w:type="pct"/>
            <w:gridSpan w:val="5"/>
            <w:tcBorders>
              <w:top w:val="nil"/>
              <w:left w:val="nil"/>
              <w:bottom w:val="nil"/>
              <w:right w:val="nil"/>
            </w:tcBorders>
          </w:tcPr>
          <w:p w:rsidR="00C15876" w:rsidRPr="00C15876" w:rsidP="00C15876" w14:paraId="6C8CFE0E" w14:textId="77777777">
            <w:pPr>
              <w:spacing w:line="360" w:lineRule="auto"/>
              <w:rPr>
                <w:rFonts w:ascii="Times New Roman" w:hAnsi="Times New Roman" w:cs="Times New Roman"/>
                <w:b/>
                <w:bCs/>
                <w:sz w:val="24"/>
                <w:szCs w:val="24"/>
              </w:rPr>
            </w:pPr>
          </w:p>
          <w:p w:rsidR="00C15876" w:rsidRPr="00C15876" w:rsidP="00C15876" w14:paraId="77FB58B1"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Complete the </w:t>
            </w:r>
            <w:r w:rsidRPr="00C15876">
              <w:rPr>
                <w:rFonts w:ascii="Times New Roman" w:hAnsi="Times New Roman" w:cs="Times New Roman"/>
                <w:b/>
                <w:bCs/>
                <w:sz w:val="24"/>
                <w:szCs w:val="24"/>
                <w:u w:val="single"/>
              </w:rPr>
              <w:t>first part</w:t>
            </w:r>
            <w:r w:rsidRPr="00C15876">
              <w:rPr>
                <w:rFonts w:ascii="Times New Roman" w:hAnsi="Times New Roman" w:cs="Times New Roman"/>
                <w:b/>
                <w:bCs/>
                <w:sz w:val="24"/>
                <w:szCs w:val="24"/>
              </w:rPr>
              <w:t xml:space="preserve"> of the table below and sign the declaration on the next page. Place both at the front of your draft / summative assessment.</w:t>
            </w:r>
          </w:p>
        </w:tc>
      </w:tr>
      <w:tr w14:paraId="5E939FF7" w14:textId="77777777" w:rsidTr="00C15876">
        <w:tblPrEx>
          <w:tblW w:w="5039" w:type="pct"/>
          <w:tblInd w:w="135" w:type="dxa"/>
          <w:tblLook w:val="04A0"/>
        </w:tblPrEx>
        <w:trPr>
          <w:trHeight w:val="521"/>
        </w:trPr>
        <w:tc>
          <w:tcPr>
            <w:tcW w:w="5000" w:type="pct"/>
            <w:gridSpan w:val="5"/>
            <w:tcBorders>
              <w:top w:val="nil"/>
              <w:left w:val="nil"/>
              <w:bottom w:val="single" w:sz="4" w:space="0" w:color="000000"/>
              <w:right w:val="nil"/>
            </w:tcBorders>
          </w:tcPr>
          <w:p w:rsidR="00C15876" w:rsidRPr="00C15876" w:rsidP="00C15876" w14:paraId="4190798B" w14:textId="77777777">
            <w:pPr>
              <w:spacing w:line="360" w:lineRule="auto"/>
              <w:rPr>
                <w:rFonts w:ascii="Times New Roman" w:hAnsi="Times New Roman" w:cs="Times New Roman"/>
                <w:b/>
                <w:bCs/>
                <w:sz w:val="24"/>
                <w:szCs w:val="24"/>
              </w:rPr>
            </w:pPr>
          </w:p>
        </w:tc>
      </w:tr>
      <w:tr w14:paraId="41D77888" w14:textId="77777777" w:rsidTr="00C15876">
        <w:tblPrEx>
          <w:tblW w:w="5039" w:type="pct"/>
          <w:tblInd w:w="135" w:type="dxa"/>
          <w:tblLook w:val="04A0"/>
        </w:tblPrEx>
        <w:trPr>
          <w:trHeight w:val="52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A3E1"/>
            <w:hideMark/>
          </w:tcPr>
          <w:p w:rsidR="00C15876" w:rsidRPr="00C15876" w:rsidP="00C15876" w14:paraId="606C9D32"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Please write clearly in block capitals</w:t>
            </w:r>
          </w:p>
        </w:tc>
      </w:tr>
      <w:tr w14:paraId="6E98484A" w14:textId="77777777" w:rsidTr="00C15876">
        <w:tblPrEx>
          <w:tblW w:w="5039" w:type="pct"/>
          <w:tblInd w:w="135" w:type="dxa"/>
          <w:tblLook w:val="04A0"/>
        </w:tblPrEx>
        <w:trPr>
          <w:trHeight w:val="519"/>
        </w:trPr>
        <w:tc>
          <w:tcPr>
            <w:tcW w:w="2260" w:type="pct"/>
            <w:gridSpan w:val="2"/>
            <w:tcBorders>
              <w:top w:val="single" w:sz="4" w:space="0" w:color="000000"/>
              <w:left w:val="single" w:sz="4" w:space="0" w:color="000000"/>
              <w:bottom w:val="single" w:sz="4" w:space="0" w:color="000000"/>
              <w:right w:val="single" w:sz="4" w:space="0" w:color="000000"/>
            </w:tcBorders>
            <w:hideMark/>
          </w:tcPr>
          <w:p w:rsidR="00C15876" w:rsidRPr="00C15876" w:rsidP="00C15876" w14:paraId="0237CC6E"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Centre number</w:t>
            </w:r>
          </w:p>
        </w:tc>
        <w:tc>
          <w:tcPr>
            <w:tcW w:w="2740" w:type="pct"/>
            <w:gridSpan w:val="3"/>
            <w:tcBorders>
              <w:top w:val="single" w:sz="4" w:space="0" w:color="000000"/>
              <w:left w:val="single" w:sz="4" w:space="0" w:color="000000"/>
              <w:bottom w:val="single" w:sz="4" w:space="0" w:color="000000"/>
              <w:right w:val="single" w:sz="4" w:space="0" w:color="000000"/>
            </w:tcBorders>
            <w:shd w:val="clear" w:color="auto" w:fill="E7E6E6"/>
            <w:vAlign w:val="center"/>
            <w:hideMark/>
          </w:tcPr>
          <w:p w:rsidR="00C15876" w:rsidRPr="00C15876" w:rsidP="00C15876" w14:paraId="31AA5554"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534</w:t>
            </w:r>
          </w:p>
        </w:tc>
      </w:tr>
      <w:tr w14:paraId="0015FE48" w14:textId="77777777" w:rsidTr="00C15876">
        <w:tblPrEx>
          <w:tblW w:w="5039" w:type="pct"/>
          <w:tblInd w:w="135" w:type="dxa"/>
          <w:tblLook w:val="04A0"/>
        </w:tblPrEx>
        <w:trPr>
          <w:trHeight w:val="519"/>
        </w:trPr>
        <w:tc>
          <w:tcPr>
            <w:tcW w:w="2260" w:type="pct"/>
            <w:gridSpan w:val="2"/>
            <w:tcBorders>
              <w:top w:val="single" w:sz="4" w:space="0" w:color="000000"/>
              <w:left w:val="single" w:sz="4" w:space="0" w:color="000000"/>
              <w:bottom w:val="single" w:sz="4" w:space="0" w:color="000000"/>
              <w:right w:val="single" w:sz="4" w:space="0" w:color="000000"/>
            </w:tcBorders>
            <w:hideMark/>
          </w:tcPr>
          <w:p w:rsidR="00C15876" w:rsidRPr="00C15876" w:rsidP="00C15876" w14:paraId="631A2861"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Student name</w:t>
            </w:r>
          </w:p>
        </w:tc>
        <w:tc>
          <w:tcPr>
            <w:tcW w:w="2740" w:type="pct"/>
            <w:gridSpan w:val="3"/>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7D8C07D9"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Anas Raza Khan</w:t>
            </w:r>
          </w:p>
        </w:tc>
      </w:tr>
      <w:tr w14:paraId="05743524" w14:textId="77777777" w:rsidTr="00C15876">
        <w:tblPrEx>
          <w:tblW w:w="5039" w:type="pct"/>
          <w:tblInd w:w="135" w:type="dxa"/>
          <w:tblLook w:val="04A0"/>
        </w:tblPrEx>
        <w:trPr>
          <w:trHeight w:val="521"/>
        </w:trPr>
        <w:tc>
          <w:tcPr>
            <w:tcW w:w="2260" w:type="pct"/>
            <w:gridSpan w:val="2"/>
            <w:tcBorders>
              <w:top w:val="single" w:sz="4" w:space="0" w:color="000000"/>
              <w:left w:val="single" w:sz="4" w:space="0" w:color="000000"/>
              <w:bottom w:val="single" w:sz="4" w:space="0" w:color="000000"/>
              <w:right w:val="single" w:sz="4" w:space="0" w:color="000000"/>
            </w:tcBorders>
            <w:hideMark/>
          </w:tcPr>
          <w:p w:rsidR="00C15876" w:rsidRPr="00C15876" w:rsidP="00C15876" w14:paraId="66C8B9BD"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Student ID number</w:t>
            </w:r>
          </w:p>
        </w:tc>
        <w:tc>
          <w:tcPr>
            <w:tcW w:w="2740" w:type="pct"/>
            <w:gridSpan w:val="3"/>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3D8A8099"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43848721</w:t>
            </w:r>
          </w:p>
        </w:tc>
      </w:tr>
      <w:tr w14:paraId="12868F3D" w14:textId="77777777" w:rsidTr="00C15876">
        <w:tblPrEx>
          <w:tblW w:w="5039" w:type="pct"/>
          <w:tblInd w:w="135" w:type="dxa"/>
          <w:tblLook w:val="04A0"/>
        </w:tblPrEx>
        <w:trPr>
          <w:trHeight w:val="521"/>
        </w:trPr>
        <w:tc>
          <w:tcPr>
            <w:tcW w:w="2260" w:type="pct"/>
            <w:gridSpan w:val="2"/>
            <w:tcBorders>
              <w:top w:val="single" w:sz="4" w:space="0" w:color="000000"/>
              <w:left w:val="single" w:sz="4" w:space="0" w:color="000000"/>
              <w:bottom w:val="single" w:sz="4" w:space="0" w:color="000000"/>
              <w:right w:val="single" w:sz="4" w:space="0" w:color="000000"/>
            </w:tcBorders>
            <w:hideMark/>
          </w:tcPr>
          <w:p w:rsidR="00C15876" w:rsidRPr="00C15876" w:rsidP="00C15876" w14:paraId="56276B76"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CIPD membership number</w:t>
            </w:r>
          </w:p>
        </w:tc>
        <w:tc>
          <w:tcPr>
            <w:tcW w:w="2740" w:type="pct"/>
            <w:gridSpan w:val="3"/>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41526F59"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87486988</w:t>
            </w:r>
          </w:p>
        </w:tc>
      </w:tr>
      <w:tr w14:paraId="098A9C1C" w14:textId="77777777" w:rsidTr="00C15876">
        <w:tblPrEx>
          <w:tblW w:w="5039" w:type="pct"/>
          <w:tblInd w:w="135" w:type="dxa"/>
          <w:tblLook w:val="04A0"/>
        </w:tblPrEx>
        <w:trPr>
          <w:trHeight w:val="519"/>
        </w:trPr>
        <w:tc>
          <w:tcPr>
            <w:tcW w:w="2260" w:type="pct"/>
            <w:gridSpan w:val="2"/>
            <w:tcBorders>
              <w:top w:val="single" w:sz="4" w:space="0" w:color="000000"/>
              <w:left w:val="single" w:sz="4" w:space="0" w:color="000000"/>
              <w:bottom w:val="single" w:sz="4" w:space="0" w:color="000000"/>
              <w:right w:val="single" w:sz="4" w:space="0" w:color="000000"/>
            </w:tcBorders>
            <w:hideMark/>
          </w:tcPr>
          <w:p w:rsidR="00C15876" w:rsidRPr="00C15876" w:rsidP="00C15876" w14:paraId="4F31CBD6"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Unit code</w:t>
            </w:r>
          </w:p>
        </w:tc>
        <w:tc>
          <w:tcPr>
            <w:tcW w:w="2740" w:type="pct"/>
            <w:gridSpan w:val="3"/>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44659ED1"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7CO01</w:t>
            </w:r>
          </w:p>
        </w:tc>
      </w:tr>
      <w:tr w14:paraId="286FC8AD" w14:textId="77777777" w:rsidTr="00C15876">
        <w:tblPrEx>
          <w:tblW w:w="5039" w:type="pct"/>
          <w:tblInd w:w="135" w:type="dxa"/>
          <w:tblLook w:val="04A0"/>
        </w:tblPrEx>
        <w:trPr>
          <w:trHeight w:val="46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A3E1"/>
            <w:vAlign w:val="center"/>
            <w:hideMark/>
          </w:tcPr>
          <w:p w:rsidR="00C15876" w:rsidRPr="00C15876" w:rsidP="00C15876" w14:paraId="25938C08"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Assessment Submission (1</w:t>
            </w:r>
            <w:r w:rsidRPr="00C15876">
              <w:rPr>
                <w:rFonts w:ascii="Times New Roman" w:hAnsi="Times New Roman" w:cs="Times New Roman"/>
                <w:b/>
                <w:bCs/>
                <w:sz w:val="24"/>
                <w:szCs w:val="24"/>
                <w:vertAlign w:val="superscript"/>
              </w:rPr>
              <w:t>st</w:t>
            </w:r>
            <w:r w:rsidRPr="00C15876">
              <w:rPr>
                <w:rFonts w:ascii="Times New Roman" w:hAnsi="Times New Roman" w:cs="Times New Roman"/>
                <w:b/>
                <w:bCs/>
                <w:sz w:val="24"/>
                <w:szCs w:val="24"/>
              </w:rPr>
              <w:t xml:space="preserve"> Attempt)</w:t>
            </w:r>
          </w:p>
        </w:tc>
      </w:tr>
      <w:tr w14:paraId="5408E88C" w14:textId="77777777" w:rsidTr="00C15876">
        <w:tblPrEx>
          <w:tblW w:w="5039" w:type="pct"/>
          <w:tblInd w:w="135" w:type="dxa"/>
          <w:tblLook w:val="04A0"/>
        </w:tblPrEx>
        <w:trPr>
          <w:trHeight w:val="533"/>
        </w:trPr>
        <w:tc>
          <w:tcPr>
            <w:tcW w:w="2260" w:type="pct"/>
            <w:gridSpan w:val="2"/>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63727068"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Word count</w:t>
            </w:r>
          </w:p>
        </w:tc>
        <w:tc>
          <w:tcPr>
            <w:tcW w:w="2740" w:type="pct"/>
            <w:gridSpan w:val="3"/>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384F44A3" w14:textId="77777777">
            <w:pPr>
              <w:spacing w:line="360" w:lineRule="auto"/>
              <w:rPr>
                <w:rFonts w:ascii="Times New Roman" w:hAnsi="Times New Roman" w:cs="Times New Roman"/>
                <w:b/>
                <w:bCs/>
                <w:sz w:val="24"/>
                <w:szCs w:val="24"/>
              </w:rPr>
            </w:pPr>
          </w:p>
        </w:tc>
      </w:tr>
      <w:tr w14:paraId="6465B0F0" w14:textId="77777777" w:rsidTr="00C15876">
        <w:tblPrEx>
          <w:tblW w:w="5039" w:type="pct"/>
          <w:tblInd w:w="135" w:type="dxa"/>
          <w:tblLook w:val="04A0"/>
        </w:tblPrEx>
        <w:trPr>
          <w:trHeight w:val="461"/>
        </w:trPr>
        <w:tc>
          <w:tcPr>
            <w:tcW w:w="2260" w:type="pct"/>
            <w:gridSpan w:val="2"/>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74CE19B3"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Assessment submission date</w:t>
            </w:r>
          </w:p>
        </w:tc>
        <w:tc>
          <w:tcPr>
            <w:tcW w:w="2740" w:type="pct"/>
            <w:gridSpan w:val="3"/>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21BCD5E0" w14:textId="77777777">
            <w:pPr>
              <w:spacing w:line="360" w:lineRule="auto"/>
              <w:rPr>
                <w:rFonts w:ascii="Times New Roman" w:hAnsi="Times New Roman" w:cs="Times New Roman"/>
                <w:b/>
                <w:bCs/>
                <w:sz w:val="24"/>
                <w:szCs w:val="24"/>
              </w:rPr>
            </w:pPr>
          </w:p>
        </w:tc>
      </w:tr>
      <w:tr w14:paraId="7570EEDA" w14:textId="77777777" w:rsidTr="00C15876">
        <w:tblPrEx>
          <w:tblW w:w="5039" w:type="pct"/>
          <w:tblInd w:w="135" w:type="dxa"/>
          <w:tblLook w:val="04A0"/>
        </w:tblPrEx>
        <w:trPr>
          <w:trHeight w:val="46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A3E1"/>
            <w:vAlign w:val="center"/>
            <w:hideMark/>
          </w:tcPr>
          <w:p w:rsidR="00C15876" w:rsidRPr="00C15876" w:rsidP="00C15876" w14:paraId="2C41DABA"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Assessment Submission (2</w:t>
            </w:r>
            <w:r w:rsidRPr="00C15876">
              <w:rPr>
                <w:rFonts w:ascii="Times New Roman" w:hAnsi="Times New Roman" w:cs="Times New Roman"/>
                <w:b/>
                <w:bCs/>
                <w:sz w:val="24"/>
                <w:szCs w:val="24"/>
                <w:vertAlign w:val="superscript"/>
              </w:rPr>
              <w:t>nd</w:t>
            </w:r>
            <w:r w:rsidRPr="00C15876">
              <w:rPr>
                <w:rFonts w:ascii="Times New Roman" w:hAnsi="Times New Roman" w:cs="Times New Roman"/>
                <w:b/>
                <w:bCs/>
                <w:sz w:val="24"/>
                <w:szCs w:val="24"/>
              </w:rPr>
              <w:t xml:space="preserve"> Attempt)</w:t>
            </w:r>
          </w:p>
        </w:tc>
      </w:tr>
      <w:tr w14:paraId="648D45FA" w14:textId="77777777" w:rsidTr="00C15876">
        <w:tblPrEx>
          <w:tblW w:w="5039" w:type="pct"/>
          <w:tblInd w:w="135" w:type="dxa"/>
          <w:tblLook w:val="04A0"/>
        </w:tblPrEx>
        <w:trPr>
          <w:trHeight w:val="533"/>
        </w:trPr>
        <w:tc>
          <w:tcPr>
            <w:tcW w:w="2260" w:type="pct"/>
            <w:gridSpan w:val="2"/>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088826DF"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Word count</w:t>
            </w:r>
          </w:p>
        </w:tc>
        <w:tc>
          <w:tcPr>
            <w:tcW w:w="2740" w:type="pct"/>
            <w:gridSpan w:val="3"/>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6A47EE49" w14:textId="77777777">
            <w:pPr>
              <w:spacing w:line="360" w:lineRule="auto"/>
              <w:rPr>
                <w:rFonts w:ascii="Times New Roman" w:hAnsi="Times New Roman" w:cs="Times New Roman"/>
                <w:b/>
                <w:bCs/>
                <w:sz w:val="24"/>
                <w:szCs w:val="24"/>
              </w:rPr>
            </w:pPr>
          </w:p>
        </w:tc>
      </w:tr>
      <w:tr w14:paraId="7A66DC9A" w14:textId="77777777" w:rsidTr="00C15876">
        <w:tblPrEx>
          <w:tblW w:w="5039" w:type="pct"/>
          <w:tblInd w:w="135" w:type="dxa"/>
          <w:tblLook w:val="04A0"/>
        </w:tblPrEx>
        <w:trPr>
          <w:trHeight w:val="461"/>
        </w:trPr>
        <w:tc>
          <w:tcPr>
            <w:tcW w:w="2260" w:type="pct"/>
            <w:gridSpan w:val="2"/>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1AC27166"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Assessment submission date</w:t>
            </w:r>
          </w:p>
        </w:tc>
        <w:tc>
          <w:tcPr>
            <w:tcW w:w="2740" w:type="pct"/>
            <w:gridSpan w:val="3"/>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308506E9" w14:textId="77777777">
            <w:pPr>
              <w:spacing w:line="360" w:lineRule="auto"/>
              <w:rPr>
                <w:rFonts w:ascii="Times New Roman" w:hAnsi="Times New Roman" w:cs="Times New Roman"/>
                <w:b/>
                <w:bCs/>
                <w:sz w:val="24"/>
                <w:szCs w:val="24"/>
              </w:rPr>
            </w:pPr>
          </w:p>
        </w:tc>
      </w:tr>
      <w:tr w14:paraId="7FE1B44E" w14:textId="77777777" w:rsidTr="00C15876">
        <w:tblPrEx>
          <w:tblW w:w="5039" w:type="pct"/>
          <w:tblInd w:w="135" w:type="dxa"/>
          <w:tblLook w:val="04A0"/>
        </w:tblPrEx>
        <w:trPr>
          <w:trHeight w:val="461"/>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00A3E1"/>
            <w:vAlign w:val="center"/>
            <w:hideMark/>
          </w:tcPr>
          <w:p w:rsidR="00C15876" w:rsidRPr="00C15876" w:rsidP="00C15876" w14:paraId="5729F67B"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Assessment Submission (3</w:t>
            </w:r>
            <w:r w:rsidRPr="00C15876">
              <w:rPr>
                <w:rFonts w:ascii="Times New Roman" w:hAnsi="Times New Roman" w:cs="Times New Roman"/>
                <w:b/>
                <w:bCs/>
                <w:sz w:val="24"/>
                <w:szCs w:val="24"/>
                <w:vertAlign w:val="superscript"/>
              </w:rPr>
              <w:t>rd</w:t>
            </w:r>
            <w:r w:rsidRPr="00C15876">
              <w:rPr>
                <w:rFonts w:ascii="Times New Roman" w:hAnsi="Times New Roman" w:cs="Times New Roman"/>
                <w:b/>
                <w:bCs/>
                <w:sz w:val="24"/>
                <w:szCs w:val="24"/>
              </w:rPr>
              <w:t xml:space="preserve"> Attempt)</w:t>
            </w:r>
          </w:p>
        </w:tc>
      </w:tr>
      <w:tr w14:paraId="06FF9146" w14:textId="77777777" w:rsidTr="00C15876">
        <w:tblPrEx>
          <w:tblW w:w="5039" w:type="pct"/>
          <w:tblInd w:w="135" w:type="dxa"/>
          <w:tblLook w:val="04A0"/>
        </w:tblPrEx>
        <w:trPr>
          <w:trHeight w:val="533"/>
        </w:trPr>
        <w:tc>
          <w:tcPr>
            <w:tcW w:w="2260" w:type="pct"/>
            <w:gridSpan w:val="2"/>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10CF1C8F"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Word count</w:t>
            </w:r>
          </w:p>
        </w:tc>
        <w:tc>
          <w:tcPr>
            <w:tcW w:w="2740" w:type="pct"/>
            <w:gridSpan w:val="3"/>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7487561D" w14:textId="77777777">
            <w:pPr>
              <w:spacing w:line="360" w:lineRule="auto"/>
              <w:rPr>
                <w:rFonts w:ascii="Times New Roman" w:hAnsi="Times New Roman" w:cs="Times New Roman"/>
                <w:b/>
                <w:bCs/>
                <w:sz w:val="24"/>
                <w:szCs w:val="24"/>
              </w:rPr>
            </w:pPr>
          </w:p>
        </w:tc>
      </w:tr>
      <w:tr w14:paraId="2C7FCA46" w14:textId="77777777" w:rsidTr="00C15876">
        <w:tblPrEx>
          <w:tblW w:w="5039" w:type="pct"/>
          <w:tblInd w:w="135" w:type="dxa"/>
          <w:tblLook w:val="04A0"/>
        </w:tblPrEx>
        <w:trPr>
          <w:trHeight w:val="461"/>
        </w:trPr>
        <w:tc>
          <w:tcPr>
            <w:tcW w:w="2260" w:type="pct"/>
            <w:gridSpan w:val="2"/>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1574CBED"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Assessment submission date</w:t>
            </w:r>
          </w:p>
        </w:tc>
        <w:tc>
          <w:tcPr>
            <w:tcW w:w="2740" w:type="pct"/>
            <w:gridSpan w:val="3"/>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3CBFFDFE" w14:textId="77777777">
            <w:pPr>
              <w:spacing w:line="360" w:lineRule="auto"/>
              <w:rPr>
                <w:rFonts w:ascii="Times New Roman" w:hAnsi="Times New Roman" w:cs="Times New Roman"/>
                <w:b/>
                <w:bCs/>
                <w:sz w:val="24"/>
                <w:szCs w:val="24"/>
              </w:rPr>
            </w:pPr>
          </w:p>
        </w:tc>
      </w:tr>
    </w:tbl>
    <w:p w:rsidR="00C15876" w:rsidRPr="00C15876" w:rsidP="00C15876" w14:paraId="3D7FA078"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 </w:t>
      </w:r>
    </w:p>
    <w:p w:rsidR="00C15876" w:rsidRPr="00C15876" w:rsidP="00C15876" w14:paraId="643BE88B"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 </w:t>
      </w:r>
    </w:p>
    <w:p w:rsidR="00C15876" w:rsidRPr="00C15876" w:rsidP="00C15876" w14:paraId="2396217B" w14:textId="4B2876F9">
      <w:pPr>
        <w:spacing w:line="360" w:lineRule="auto"/>
        <w:rPr>
          <w:rFonts w:ascii="Times New Roman" w:hAnsi="Times New Roman" w:cs="Times New Roman"/>
          <w:b/>
          <w:bCs/>
          <w:sz w:val="24"/>
          <w:szCs w:val="24"/>
        </w:rPr>
      </w:pPr>
    </w:p>
    <w:tbl>
      <w:tblPr>
        <w:tblW w:w="503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4257"/>
        <w:gridCol w:w="5158"/>
      </w:tblGrid>
      <w:tr w14:paraId="7E15123F" w14:textId="77777777" w:rsidTr="00C15876">
        <w:tblPrEx>
          <w:tblW w:w="5035" w:type="pct"/>
          <w:tblInd w:w="108" w:type="dxa"/>
          <w:tblLook w:val="04A0"/>
        </w:tblPrEx>
        <w:trPr>
          <w:trHeight w:val="50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00A3E1"/>
            <w:hideMark/>
          </w:tcPr>
          <w:p w:rsidR="00C15876" w:rsidRPr="00C15876" w:rsidP="00C15876" w14:paraId="518F35F0"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Declaration By Learner (student to complete):</w:t>
            </w:r>
          </w:p>
        </w:tc>
      </w:tr>
      <w:tr w14:paraId="53B10E56" w14:textId="77777777" w:rsidTr="00C15876">
        <w:tblPrEx>
          <w:tblW w:w="5035" w:type="pct"/>
          <w:tblInd w:w="108" w:type="dxa"/>
          <w:tblLook w:val="04A0"/>
        </w:tblPrEx>
        <w:trPr>
          <w:trHeight w:val="923"/>
        </w:trPr>
        <w:tc>
          <w:tcPr>
            <w:tcW w:w="5000" w:type="pct"/>
            <w:gridSpan w:val="2"/>
            <w:tcBorders>
              <w:top w:val="single" w:sz="4" w:space="0" w:color="000000"/>
              <w:left w:val="single" w:sz="4" w:space="0" w:color="000000"/>
              <w:bottom w:val="single" w:sz="4" w:space="0" w:color="000000"/>
              <w:right w:val="single" w:sz="4" w:space="0" w:color="000000"/>
            </w:tcBorders>
            <w:hideMark/>
          </w:tcPr>
          <w:p w:rsidR="00C15876" w:rsidRPr="00C15876" w:rsidP="00C15876" w14:paraId="096A07D5"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 </w:t>
            </w:r>
          </w:p>
          <w:p w:rsidR="00C15876" w:rsidRPr="00C15876" w:rsidP="00C15876" w14:paraId="43BB1D1E"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I can confirm that:</w:t>
            </w:r>
          </w:p>
          <w:p w:rsidR="00C15876" w:rsidRPr="00C15876" w:rsidP="00C15876" w14:paraId="7C58DE36"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w:t>
            </w:r>
          </w:p>
          <w:p w:rsidR="00C15876" w:rsidRPr="00C15876" w:rsidP="00C15876" w14:paraId="7851C768" w14:textId="77777777">
            <w:pPr>
              <w:numPr>
                <w:ilvl w:val="0"/>
                <w:numId w:val="8"/>
              </w:num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This assessment is all my own work.  </w:t>
            </w:r>
          </w:p>
          <w:p w:rsidR="00C15876" w:rsidRPr="00C15876" w:rsidP="00C15876" w14:paraId="745BE27B" w14:textId="77777777">
            <w:pPr>
              <w:numPr>
                <w:ilvl w:val="0"/>
                <w:numId w:val="8"/>
              </w:num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Where I have used materials from other sources, they have been properly acknowledged and referenced.</w:t>
            </w:r>
          </w:p>
          <w:p w:rsidR="00C15876" w:rsidRPr="00C15876" w:rsidP="00C15876" w14:paraId="040C72B6" w14:textId="77777777">
            <w:pPr>
              <w:numPr>
                <w:ilvl w:val="0"/>
                <w:numId w:val="8"/>
              </w:num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I have not used Artificial Intelligence tools to generate content for my assessment.</w:t>
            </w:r>
          </w:p>
          <w:p w:rsidR="00C15876" w:rsidRPr="00C15876" w:rsidP="00C15876" w14:paraId="6C99647D"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I understand the consequences of </w:t>
            </w:r>
            <w:hyperlink r:id="rId5" w:history="1">
              <w:r w:rsidRPr="00C15876">
                <w:rPr>
                  <w:rStyle w:val="Hyperlink"/>
                  <w:rFonts w:ascii="Times New Roman" w:hAnsi="Times New Roman" w:cs="Times New Roman"/>
                  <w:b/>
                  <w:bCs/>
                  <w:sz w:val="24"/>
                  <w:szCs w:val="24"/>
                </w:rPr>
                <w:t>malpractice</w:t>
              </w:r>
            </w:hyperlink>
            <w:r w:rsidRPr="00C15876">
              <w:rPr>
                <w:rFonts w:ascii="Times New Roman" w:hAnsi="Times New Roman" w:cs="Times New Roman"/>
                <w:b/>
                <w:bCs/>
                <w:sz w:val="24"/>
                <w:szCs w:val="24"/>
              </w:rPr>
              <w:t xml:space="preserve"> and accept that any violation of this agreement may result in disciplinary action.</w:t>
            </w:r>
          </w:p>
        </w:tc>
      </w:tr>
      <w:tr w14:paraId="2BB7B201" w14:textId="77777777" w:rsidTr="00C15876">
        <w:tblPrEx>
          <w:tblW w:w="5035" w:type="pct"/>
          <w:tblInd w:w="108" w:type="dxa"/>
          <w:tblLook w:val="04A0"/>
        </w:tblPrEx>
        <w:trPr>
          <w:trHeight w:val="579"/>
        </w:trPr>
        <w:tc>
          <w:tcPr>
            <w:tcW w:w="2261" w:type="pct"/>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4A7FEE0E"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Student Name</w:t>
            </w:r>
          </w:p>
        </w:tc>
        <w:tc>
          <w:tcPr>
            <w:tcW w:w="2739" w:type="pct"/>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28DC6FBF"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Anas Raza Khan</w:t>
            </w:r>
          </w:p>
        </w:tc>
      </w:tr>
      <w:tr w14:paraId="51C9E1C4" w14:textId="77777777" w:rsidTr="00C15876">
        <w:tblPrEx>
          <w:tblW w:w="5035" w:type="pct"/>
          <w:tblInd w:w="108" w:type="dxa"/>
          <w:tblLook w:val="04A0"/>
        </w:tblPrEx>
        <w:trPr>
          <w:trHeight w:val="559"/>
        </w:trPr>
        <w:tc>
          <w:tcPr>
            <w:tcW w:w="2261" w:type="pct"/>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41348C02"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Student Signature</w:t>
            </w:r>
          </w:p>
        </w:tc>
        <w:tc>
          <w:tcPr>
            <w:tcW w:w="2739" w:type="pct"/>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17EBF2AF" w14:textId="77777777">
            <w:pPr>
              <w:spacing w:line="360" w:lineRule="auto"/>
              <w:rPr>
                <w:rFonts w:ascii="Times New Roman" w:hAnsi="Times New Roman" w:cs="Times New Roman"/>
                <w:b/>
                <w:bCs/>
                <w:sz w:val="24"/>
                <w:szCs w:val="24"/>
              </w:rPr>
            </w:pPr>
          </w:p>
        </w:tc>
      </w:tr>
      <w:tr w14:paraId="527863D9" w14:textId="77777777" w:rsidTr="00C15876">
        <w:tblPrEx>
          <w:tblW w:w="5035" w:type="pct"/>
          <w:tblInd w:w="108" w:type="dxa"/>
          <w:tblLook w:val="04A0"/>
        </w:tblPrEx>
        <w:trPr>
          <w:trHeight w:val="553"/>
        </w:trPr>
        <w:tc>
          <w:tcPr>
            <w:tcW w:w="2261" w:type="pct"/>
            <w:tcBorders>
              <w:top w:val="single" w:sz="4" w:space="0" w:color="000000"/>
              <w:left w:val="single" w:sz="4" w:space="0" w:color="000000"/>
              <w:bottom w:val="single" w:sz="4" w:space="0" w:color="000000"/>
              <w:right w:val="single" w:sz="4" w:space="0" w:color="000000"/>
            </w:tcBorders>
            <w:vAlign w:val="center"/>
            <w:hideMark/>
          </w:tcPr>
          <w:p w:rsidR="00C15876" w:rsidRPr="00C15876" w:rsidP="00C15876" w14:paraId="48E6ECE7"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Date*</w:t>
            </w:r>
          </w:p>
        </w:tc>
        <w:tc>
          <w:tcPr>
            <w:tcW w:w="2739" w:type="pct"/>
            <w:tcBorders>
              <w:top w:val="single" w:sz="4" w:space="0" w:color="000000"/>
              <w:left w:val="single" w:sz="4" w:space="0" w:color="000000"/>
              <w:bottom w:val="single" w:sz="4" w:space="0" w:color="000000"/>
              <w:right w:val="single" w:sz="4" w:space="0" w:color="000000"/>
            </w:tcBorders>
            <w:vAlign w:val="center"/>
          </w:tcPr>
          <w:p w:rsidR="00C15876" w:rsidRPr="00C15876" w:rsidP="00C15876" w14:paraId="5E1B2572" w14:textId="77777777">
            <w:pPr>
              <w:spacing w:line="360" w:lineRule="auto"/>
              <w:rPr>
                <w:rFonts w:ascii="Times New Roman" w:hAnsi="Times New Roman" w:cs="Times New Roman"/>
                <w:b/>
                <w:bCs/>
                <w:sz w:val="24"/>
                <w:szCs w:val="24"/>
              </w:rPr>
            </w:pPr>
          </w:p>
        </w:tc>
      </w:tr>
    </w:tbl>
    <w:p w:rsidR="00C15876" w:rsidRPr="00C15876" w:rsidP="00C15876" w14:paraId="6F9B6913"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*This should be the date on which you submit your assessment </w:t>
      </w:r>
    </w:p>
    <w:p w:rsidR="00C15876" w:rsidRPr="00C15876" w:rsidP="00C15876" w14:paraId="381AF7A9" w14:textId="77777777">
      <w:pPr>
        <w:spacing w:line="360" w:lineRule="auto"/>
        <w:rPr>
          <w:rFonts w:ascii="Times New Roman" w:hAnsi="Times New Roman" w:cs="Times New Roman"/>
          <w:b/>
          <w:bCs/>
          <w:sz w:val="24"/>
          <w:szCs w:val="24"/>
        </w:rPr>
      </w:pPr>
      <w:r w:rsidRPr="00C15876">
        <w:rPr>
          <w:rFonts w:ascii="Times New Roman" w:hAnsi="Times New Roman" w:cs="Times New Roman"/>
          <w:b/>
          <w:bCs/>
          <w:sz w:val="24"/>
          <w:szCs w:val="24"/>
        </w:rPr>
        <w:t xml:space="preserve"> </w:t>
      </w:r>
    </w:p>
    <w:p w:rsidR="00DF0473" w:rsidRPr="008244B8" w:rsidP="008244B8" w14:paraId="5CB3FF2E" w14:textId="77777777">
      <w:pPr>
        <w:spacing w:line="360" w:lineRule="auto"/>
        <w:rPr>
          <w:rFonts w:ascii="Times New Roman" w:hAnsi="Times New Roman" w:cs="Times New Roman"/>
          <w:b/>
          <w:bCs/>
          <w:sz w:val="24"/>
          <w:szCs w:val="24"/>
        </w:rPr>
      </w:pPr>
    </w:p>
    <w:p w:rsidR="00DF0473" w:rsidRPr="008244B8" w:rsidP="008244B8" w14:paraId="00516AEC" w14:textId="77777777">
      <w:pPr>
        <w:spacing w:line="360" w:lineRule="auto"/>
        <w:rPr>
          <w:rFonts w:ascii="Times New Roman" w:hAnsi="Times New Roman" w:cs="Times New Roman"/>
          <w:b/>
          <w:bCs/>
          <w:sz w:val="24"/>
          <w:szCs w:val="24"/>
        </w:rPr>
      </w:pPr>
    </w:p>
    <w:p w:rsidR="00DF0473" w:rsidRPr="008244B8" w:rsidP="008244B8" w14:paraId="4E7F7FBA" w14:textId="77777777">
      <w:pPr>
        <w:spacing w:line="360" w:lineRule="auto"/>
        <w:rPr>
          <w:rFonts w:ascii="Times New Roman" w:hAnsi="Times New Roman" w:cs="Times New Roman"/>
          <w:b/>
          <w:bCs/>
          <w:sz w:val="24"/>
          <w:szCs w:val="24"/>
        </w:rPr>
      </w:pPr>
    </w:p>
    <w:p w:rsidR="00DF0473" w:rsidRPr="00CA7C34" w:rsidP="008244B8" w14:paraId="42361268" w14:textId="6A6910E9">
      <w:pPr>
        <w:spacing w:line="360" w:lineRule="auto"/>
        <w:rPr>
          <w:rFonts w:ascii="Times New Roman" w:hAnsi="Times New Roman" w:cs="Times New Roman"/>
          <w:bCs/>
          <w:sz w:val="24"/>
          <w:szCs w:val="24"/>
        </w:rPr>
      </w:pPr>
    </w:p>
    <w:p w:rsidR="002E08ED" w:rsidRPr="008244B8" w:rsidP="008244B8" w14:paraId="2F6CFF3E" w14:textId="77777777">
      <w:pPr>
        <w:spacing w:after="0" w:line="360" w:lineRule="auto"/>
        <w:jc w:val="center"/>
        <w:rPr>
          <w:rFonts w:ascii="Times New Roman" w:hAnsi="Times New Roman" w:cs="Times New Roman"/>
          <w:b/>
          <w:bCs/>
          <w:sz w:val="24"/>
          <w:szCs w:val="24"/>
        </w:rPr>
      </w:pPr>
      <w:r w:rsidRPr="008244B8">
        <w:rPr>
          <w:rFonts w:ascii="Times New Roman" w:hAnsi="Times New Roman" w:cs="Times New Roman"/>
          <w:b/>
          <w:bCs/>
          <w:sz w:val="24"/>
          <w:szCs w:val="24"/>
        </w:rPr>
        <w:t>Question 1 (AC 1.1)</w:t>
      </w:r>
    </w:p>
    <w:p w:rsidR="002E08ED" w:rsidRPr="008244B8" w:rsidP="008244B8" w14:paraId="0388B0BD" w14:textId="77777777">
      <w:pPr>
        <w:spacing w:before="100" w:beforeAutospacing="1" w:after="100" w:afterAutospacing="1" w:line="360" w:lineRule="auto"/>
        <w:outlineLvl w:val="2"/>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Introduction</w:t>
      </w:r>
    </w:p>
    <w:p w:rsidR="00557BE4" w:rsidRPr="008244B8" w:rsidP="008244B8" w14:paraId="2DF0F384"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 xml:space="preserve">These days, the function of people management is quite different from what it was just two decades ago, as people management has moved from a purely administrative function to one that is more strategic in orienting the people management function toward </w:t>
      </w:r>
      <w:r w:rsidRPr="008244B8">
        <w:rPr>
          <w:rFonts w:ascii="Times New Roman" w:eastAsia="Times New Roman" w:hAnsi="Times New Roman" w:cs="Times New Roman"/>
          <w:sz w:val="24"/>
          <w:szCs w:val="24"/>
        </w:rPr>
        <w:t>organizational</w:t>
      </w:r>
      <w:r w:rsidRPr="008244B8">
        <w:rPr>
          <w:rFonts w:ascii="Times New Roman" w:eastAsia="Times New Roman" w:hAnsi="Times New Roman" w:cs="Times New Roman"/>
          <w:sz w:val="24"/>
          <w:szCs w:val="24"/>
        </w:rPr>
        <w:t xml:space="preserve"> goals</w:t>
      </w:r>
      <w:r w:rsidRPr="008244B8" w:rsidR="00D71FF2">
        <w:rPr>
          <w:rFonts w:ascii="Times New Roman" w:eastAsia="Times New Roman" w:hAnsi="Times New Roman" w:cs="Times New Roman"/>
          <w:sz w:val="24"/>
          <w:szCs w:val="24"/>
        </w:rPr>
        <w:t xml:space="preserve"> </w:t>
      </w:r>
      <w:r w:rsidRPr="008244B8" w:rsidR="00D71FF2">
        <w:rPr>
          <w:rFonts w:ascii="Times New Roman" w:hAnsi="Times New Roman" w:cs="Times New Roman"/>
          <w:color w:val="000000"/>
          <w:sz w:val="24"/>
          <w:szCs w:val="24"/>
          <w:shd w:val="clear" w:color="auto" w:fill="FFFFFF"/>
        </w:rPr>
        <w:t>(</w:t>
      </w:r>
      <w:r w:rsidRPr="008244B8" w:rsidR="00D71FF2">
        <w:rPr>
          <w:rFonts w:ascii="Times New Roman" w:hAnsi="Times New Roman" w:cs="Times New Roman"/>
          <w:color w:val="000000"/>
          <w:sz w:val="24"/>
          <w:szCs w:val="24"/>
          <w:shd w:val="clear" w:color="auto" w:fill="FFFFFF"/>
        </w:rPr>
        <w:t>Damsten</w:t>
      </w:r>
      <w:r w:rsidRPr="008244B8" w:rsidR="00D71FF2">
        <w:rPr>
          <w:rFonts w:ascii="Times New Roman" w:hAnsi="Times New Roman" w:cs="Times New Roman"/>
          <w:color w:val="000000"/>
          <w:sz w:val="24"/>
          <w:szCs w:val="24"/>
          <w:shd w:val="clear" w:color="auto" w:fill="FFFFFF"/>
        </w:rPr>
        <w:t>, 2023)</w:t>
      </w:r>
      <w:r w:rsidRPr="008244B8">
        <w:rPr>
          <w:rFonts w:ascii="Times New Roman" w:eastAsia="Times New Roman" w:hAnsi="Times New Roman" w:cs="Times New Roman"/>
          <w:sz w:val="24"/>
          <w:szCs w:val="24"/>
        </w:rPr>
        <w:t>. This move is a way to enhance the value of the workforce through higher productivity, engagement and relation to business success. Nevertheless, people management can argue that distancing people management from administrative duties is a mistake because people management remains a vital part of the organizational economy. Using an analysis of the main objectives of people management in modern organizations, this essay explores whether this strategy shift is a mistake and justifies it.</w:t>
      </w:r>
    </w:p>
    <w:p w:rsidR="002E08ED" w:rsidRPr="008244B8" w:rsidP="008244B8" w14:paraId="0FBAD2EB" w14:textId="77777777">
      <w:pPr>
        <w:spacing w:before="100" w:beforeAutospacing="1" w:after="100" w:afterAutospacing="1" w:line="360" w:lineRule="auto"/>
        <w:outlineLvl w:val="2"/>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The Shift from Administration to Strategic People Management</w:t>
      </w:r>
    </w:p>
    <w:p w:rsidR="00557BE4" w:rsidRPr="008244B8" w:rsidP="008244B8" w14:paraId="0D3A2B2F"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Traditionally, managers of people, sometimes referred to by Human Resource Management folks (HRM), were primarily occupied with more traditional tasks such as payroll work, benefits management, and ensuring that labour laws are obeyed and data are maintained</w:t>
      </w:r>
      <w:r w:rsidRPr="008244B8" w:rsidR="00D71FF2">
        <w:rPr>
          <w:rFonts w:ascii="Times New Roman" w:eastAsia="Times New Roman" w:hAnsi="Times New Roman" w:cs="Times New Roman"/>
          <w:sz w:val="24"/>
          <w:szCs w:val="24"/>
        </w:rPr>
        <w:t xml:space="preserve"> </w:t>
      </w:r>
      <w:r w:rsidRPr="008244B8" w:rsidR="00D71FF2">
        <w:rPr>
          <w:rFonts w:ascii="Times New Roman" w:hAnsi="Times New Roman" w:cs="Times New Roman"/>
          <w:color w:val="000000"/>
          <w:sz w:val="24"/>
          <w:szCs w:val="24"/>
          <w:shd w:val="clear" w:color="auto" w:fill="FFFFFF"/>
        </w:rPr>
        <w:t>(Lab, 2020)</w:t>
      </w:r>
      <w:r w:rsidRPr="008244B8">
        <w:rPr>
          <w:rFonts w:ascii="Times New Roman" w:eastAsia="Times New Roman" w:hAnsi="Times New Roman" w:cs="Times New Roman"/>
          <w:sz w:val="24"/>
          <w:szCs w:val="24"/>
        </w:rPr>
        <w:t>. Over time, however, organizations have realized that the strategic aspect of HR has been to play a role in workforce planning, feeling strongly and building culture. This resonates with a broader business imperative that looks to HR to contribute to organizational performance as opposed to being simply a business operational support function.</w:t>
      </w:r>
    </w:p>
    <w:p w:rsidR="00557BE4" w:rsidRPr="008244B8" w:rsidP="008244B8" w14:paraId="0B976B31"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The motivation behind the company's transformation is based on the notion that people are a company's most critical asset. Effective people management practices that support competitive advantage put the right talent in the right place, engage them, and align them with their business</w:t>
      </w:r>
      <w:r w:rsidRPr="008244B8" w:rsidR="00D71FF2">
        <w:rPr>
          <w:rFonts w:ascii="Times New Roman" w:eastAsia="Times New Roman" w:hAnsi="Times New Roman" w:cs="Times New Roman"/>
          <w:sz w:val="24"/>
          <w:szCs w:val="24"/>
        </w:rPr>
        <w:t xml:space="preserve"> </w:t>
      </w:r>
      <w:r w:rsidRPr="008244B8" w:rsidR="00D71FF2">
        <w:rPr>
          <w:rFonts w:ascii="Times New Roman" w:hAnsi="Times New Roman" w:cs="Times New Roman"/>
          <w:color w:val="000000"/>
          <w:sz w:val="24"/>
          <w:szCs w:val="24"/>
        </w:rPr>
        <w:t>(</w:t>
      </w:r>
      <w:r w:rsidRPr="008244B8" w:rsidR="00D71FF2">
        <w:rPr>
          <w:rFonts w:ascii="Times New Roman" w:hAnsi="Times New Roman" w:cs="Times New Roman"/>
          <w:color w:val="222222"/>
          <w:sz w:val="24"/>
          <w:szCs w:val="24"/>
          <w:shd w:val="clear" w:color="auto" w:fill="FFFFFF"/>
        </w:rPr>
        <w:t>Holbeche</w:t>
      </w:r>
      <w:r w:rsidRPr="008244B8" w:rsidR="00D71FF2">
        <w:rPr>
          <w:rFonts w:ascii="Times New Roman" w:hAnsi="Times New Roman" w:cs="Times New Roman"/>
          <w:color w:val="222222"/>
          <w:sz w:val="24"/>
          <w:szCs w:val="24"/>
          <w:shd w:val="clear" w:color="auto" w:fill="FFFFFF"/>
        </w:rPr>
        <w:t>, 2022)</w:t>
      </w:r>
      <w:r w:rsidRPr="008244B8">
        <w:rPr>
          <w:rFonts w:ascii="Times New Roman" w:eastAsia="Times New Roman" w:hAnsi="Times New Roman" w:cs="Times New Roman"/>
          <w:sz w:val="24"/>
          <w:szCs w:val="24"/>
        </w:rPr>
        <w:t>. As a result, HR has become a strategic player or partner focused on talent acquisition, leadership development, performance management, and organizational change.</w:t>
      </w:r>
    </w:p>
    <w:p w:rsidR="002E08ED" w:rsidRPr="008244B8" w:rsidP="008244B8" w14:paraId="4AF7E45B" w14:textId="77777777">
      <w:pPr>
        <w:spacing w:before="100" w:beforeAutospacing="1" w:after="100" w:afterAutospacing="1" w:line="360" w:lineRule="auto"/>
        <w:outlineLvl w:val="2"/>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The Risks of Abandoning Administrative Functions</w:t>
      </w:r>
    </w:p>
    <w:p w:rsidR="00557BE4" w:rsidRPr="008244B8" w:rsidP="008244B8" w14:paraId="230061AF"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 xml:space="preserve">The merits of a strategic focus do not preclude problems with closeness to people management and its distance from administrative activities. To be able to work for a company, administrative </w:t>
      </w:r>
      <w:r w:rsidRPr="008244B8">
        <w:rPr>
          <w:rFonts w:ascii="Times New Roman" w:eastAsia="Times New Roman" w:hAnsi="Times New Roman" w:cs="Times New Roman"/>
          <w:sz w:val="24"/>
          <w:szCs w:val="24"/>
        </w:rPr>
        <w:t>HR functions like compliance, payroll processing, and employee record keeping are necessary for the organization to be stable. If these responsibilities are not taken care of, efficiency dies, legal risks increase, and the employees are unhappy. For example, suppose you have failed to comply with employment laws and are now in a dispute with your employer over legal issues</w:t>
      </w:r>
      <w:r w:rsidRPr="008244B8" w:rsidR="00D71FF2">
        <w:rPr>
          <w:rFonts w:ascii="Times New Roman" w:eastAsia="Times New Roman" w:hAnsi="Times New Roman" w:cs="Times New Roman"/>
          <w:sz w:val="24"/>
          <w:szCs w:val="24"/>
        </w:rPr>
        <w:t xml:space="preserve"> </w:t>
      </w:r>
      <w:r w:rsidRPr="008244B8" w:rsidR="00D71FF2">
        <w:rPr>
          <w:rFonts w:ascii="Times New Roman" w:hAnsi="Times New Roman" w:cs="Times New Roman"/>
          <w:color w:val="000000"/>
          <w:sz w:val="24"/>
          <w:szCs w:val="24"/>
        </w:rPr>
        <w:t>‌</w:t>
      </w:r>
      <w:r w:rsidRPr="008244B8" w:rsidR="00D71FF2">
        <w:rPr>
          <w:rFonts w:ascii="Times New Roman" w:hAnsi="Times New Roman" w:cs="Times New Roman"/>
          <w:color w:val="000000"/>
          <w:sz w:val="24"/>
          <w:szCs w:val="24"/>
        </w:rPr>
        <w:t>‌(</w:t>
      </w:r>
      <w:r w:rsidRPr="008244B8" w:rsidR="00D71FF2">
        <w:rPr>
          <w:rFonts w:ascii="Times New Roman" w:hAnsi="Times New Roman" w:cs="Times New Roman"/>
          <w:color w:val="222222"/>
          <w:sz w:val="24"/>
          <w:szCs w:val="24"/>
          <w:shd w:val="clear" w:color="auto" w:fill="FFFFFF"/>
        </w:rPr>
        <w:t xml:space="preserve">Friedman and </w:t>
      </w:r>
      <w:r w:rsidRPr="008244B8" w:rsidR="00D71FF2">
        <w:rPr>
          <w:rFonts w:ascii="Times New Roman" w:hAnsi="Times New Roman" w:cs="Times New Roman"/>
          <w:color w:val="222222"/>
          <w:sz w:val="24"/>
          <w:szCs w:val="24"/>
          <w:shd w:val="clear" w:color="auto" w:fill="FFFFFF"/>
        </w:rPr>
        <w:t>Ladinsky</w:t>
      </w:r>
      <w:r w:rsidRPr="008244B8" w:rsidR="00D71FF2">
        <w:rPr>
          <w:rFonts w:ascii="Times New Roman" w:hAnsi="Times New Roman" w:cs="Times New Roman"/>
          <w:color w:val="222222"/>
          <w:sz w:val="24"/>
          <w:szCs w:val="24"/>
          <w:shd w:val="clear" w:color="auto" w:fill="FFFFFF"/>
        </w:rPr>
        <w:t>, 2021)</w:t>
      </w:r>
      <w:r w:rsidRPr="008244B8">
        <w:rPr>
          <w:rFonts w:ascii="Times New Roman" w:eastAsia="Times New Roman" w:hAnsi="Times New Roman" w:cs="Times New Roman"/>
          <w:sz w:val="24"/>
          <w:szCs w:val="24"/>
        </w:rPr>
        <w:t>. In that case, you will incur costly legal disputes and jeopardize your continued employment, and other errors in the payroll can make the case go silent.</w:t>
      </w:r>
    </w:p>
    <w:p w:rsidR="00557BE4" w:rsidRPr="008244B8" w:rsidP="008244B8" w14:paraId="60B03C42"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Likewise, administrative functions form the basis on which strategic initiatives are undertaken. Strategic decisions are based on data from HR records like turnover rates, employee surveys, performance metrics and others. If HR people do not handle these responsibilities, they can be deprived of important insights for workforce planning and control</w:t>
      </w:r>
      <w:r w:rsidRPr="008244B8" w:rsidR="00D71FF2">
        <w:rPr>
          <w:rFonts w:ascii="Times New Roman" w:eastAsia="Times New Roman" w:hAnsi="Times New Roman" w:cs="Times New Roman"/>
          <w:sz w:val="24"/>
          <w:szCs w:val="24"/>
        </w:rPr>
        <w:t xml:space="preserve"> </w:t>
      </w:r>
      <w:r w:rsidRPr="008244B8" w:rsidR="00D71FF2">
        <w:rPr>
          <w:rFonts w:ascii="Times New Roman" w:hAnsi="Times New Roman" w:cs="Times New Roman"/>
          <w:color w:val="222222"/>
          <w:sz w:val="24"/>
          <w:szCs w:val="24"/>
          <w:shd w:val="clear" w:color="auto" w:fill="FFFFFF"/>
        </w:rPr>
        <w:t>(Ochieng, 2023)</w:t>
      </w:r>
      <w:r w:rsidRPr="008244B8">
        <w:rPr>
          <w:rFonts w:ascii="Times New Roman" w:eastAsia="Times New Roman" w:hAnsi="Times New Roman" w:cs="Times New Roman"/>
          <w:sz w:val="24"/>
          <w:szCs w:val="24"/>
        </w:rPr>
        <w:t>. In this case, therefore, there is an optimal balance between its administrative efficiency and strategic impact.</w:t>
      </w:r>
    </w:p>
    <w:p w:rsidR="002E08ED" w:rsidRPr="008244B8" w:rsidP="008244B8" w14:paraId="640486F7" w14:textId="77777777">
      <w:pPr>
        <w:spacing w:before="100" w:beforeAutospacing="1" w:after="100" w:afterAutospacing="1" w:line="360" w:lineRule="auto"/>
        <w:outlineLvl w:val="2"/>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The Strategic Value of People Management</w:t>
      </w:r>
    </w:p>
    <w:p w:rsidR="00557BE4" w:rsidRPr="008244B8" w:rsidP="008244B8" w14:paraId="1CBAAD84"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People management makes critical strategic contributions, but administrative tasks remain very important. Modern organizations perform in dynamic environments that need to be agile, innovative, and have a strong corporate culture</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w:t>
      </w:r>
      <w:r w:rsidRPr="008244B8" w:rsidR="00EC00BA">
        <w:rPr>
          <w:rFonts w:ascii="Times New Roman" w:hAnsi="Times New Roman" w:cs="Times New Roman"/>
          <w:color w:val="222222"/>
          <w:sz w:val="24"/>
          <w:szCs w:val="24"/>
          <w:shd w:val="clear" w:color="auto" w:fill="FFFFFF"/>
        </w:rPr>
        <w:t>Kolasani</w:t>
      </w:r>
      <w:r w:rsidRPr="008244B8" w:rsidR="00EC00BA">
        <w:rPr>
          <w:rFonts w:ascii="Times New Roman" w:hAnsi="Times New Roman" w:cs="Times New Roman"/>
          <w:color w:val="222222"/>
          <w:sz w:val="24"/>
          <w:szCs w:val="24"/>
          <w:shd w:val="clear" w:color="auto" w:fill="FFFFFF"/>
        </w:rPr>
        <w:t>, 2023)</w:t>
      </w:r>
      <w:r w:rsidRPr="008244B8">
        <w:rPr>
          <w:rFonts w:ascii="Times New Roman" w:eastAsia="Times New Roman" w:hAnsi="Times New Roman" w:cs="Times New Roman"/>
          <w:sz w:val="24"/>
          <w:szCs w:val="24"/>
        </w:rPr>
        <w:t>. The role of HR in a strategic way includes various functions that are important to the success of the organization.</w:t>
      </w:r>
    </w:p>
    <w:p w:rsidR="002E08ED" w:rsidRPr="008244B8" w:rsidP="008244B8" w14:paraId="409F5720" w14:textId="77777777">
      <w:pPr>
        <w:spacing w:before="100" w:beforeAutospacing="1" w:after="100" w:afterAutospacing="1" w:line="360" w:lineRule="auto"/>
        <w:outlineLvl w:val="3"/>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1. Talent Acquisition and Retention</w:t>
      </w:r>
    </w:p>
    <w:p w:rsidR="00557BE4" w:rsidRPr="008244B8" w:rsidP="008244B8" w14:paraId="3BDE4CFA"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Alongside this, top talent retention and attraction are among the primary goals of people management. Organizations strive to attract the best candidates, and an effective HR strategy helps attract the best employees</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(Joyce et al., 2024)</w:t>
      </w:r>
      <w:r w:rsidRPr="008244B8">
        <w:rPr>
          <w:rFonts w:ascii="Times New Roman" w:eastAsia="Times New Roman" w:hAnsi="Times New Roman" w:cs="Times New Roman"/>
          <w:sz w:val="24"/>
          <w:szCs w:val="24"/>
        </w:rPr>
        <w:t>. It includes employer branding, competitive compensation structure and career development. Under a strategic HR approach, HR practices are aligned with how the business should function and ensure that the men and women who work for the firm can help the company grow.</w:t>
      </w:r>
    </w:p>
    <w:p w:rsidR="002E08ED" w:rsidRPr="008244B8" w:rsidP="008244B8" w14:paraId="5A3BF14E" w14:textId="77777777">
      <w:pPr>
        <w:spacing w:before="100" w:beforeAutospacing="1" w:after="100" w:afterAutospacing="1" w:line="360" w:lineRule="auto"/>
        <w:outlineLvl w:val="3"/>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2. Performance Management and Employee Development</w:t>
      </w:r>
    </w:p>
    <w:p w:rsidR="00557BE4" w:rsidRPr="008244B8" w:rsidP="008244B8" w14:paraId="48A5190C"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 xml:space="preserve">The role of a strategic HR function relates to the implementation of performance management systems that are in sync with organizational objectives and individual goals. Such programs as continuous feedback, training programs, etc, help the employees to improve their skills and fully </w:t>
      </w:r>
      <w:r w:rsidRPr="008244B8">
        <w:rPr>
          <w:rFonts w:ascii="Times New Roman" w:eastAsia="Times New Roman" w:hAnsi="Times New Roman" w:cs="Times New Roman"/>
          <w:sz w:val="24"/>
          <w:szCs w:val="24"/>
        </w:rPr>
        <w:t>participate in the company</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(Jones and Smith, 2022)</w:t>
      </w:r>
      <w:r w:rsidRPr="008244B8">
        <w:rPr>
          <w:rFonts w:ascii="Times New Roman" w:eastAsia="Times New Roman" w:hAnsi="Times New Roman" w:cs="Times New Roman"/>
          <w:sz w:val="24"/>
          <w:szCs w:val="24"/>
        </w:rPr>
        <w:t>. The wise betting is on investing in employee development: gainer productivity, creativity, and job satisfaction also benefit the organization's bottom line.</w:t>
      </w:r>
    </w:p>
    <w:p w:rsidR="002E08ED" w:rsidRPr="008244B8" w:rsidP="008244B8" w14:paraId="00BEC7CA" w14:textId="77777777">
      <w:pPr>
        <w:spacing w:before="100" w:beforeAutospacing="1" w:after="100" w:afterAutospacing="1" w:line="360" w:lineRule="auto"/>
        <w:outlineLvl w:val="3"/>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3. Organisational Culture and Employee Engagement</w:t>
      </w:r>
    </w:p>
    <w:p w:rsidR="00557BE4" w:rsidRPr="008244B8" w:rsidP="008244B8" w14:paraId="32034F79"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 xml:space="preserve">Employee attitude, motivation and job satisfaction are very dependent on culture. A people management strategy is a strategic approach that enables an organization to have a good culture that creates collaborative, inclusive, and ethical </w:t>
      </w:r>
      <w:r w:rsidRPr="008244B8" w:rsidR="00EC00BA">
        <w:rPr>
          <w:rFonts w:ascii="Times New Roman" w:eastAsia="Times New Roman" w:hAnsi="Times New Roman" w:cs="Times New Roman"/>
          <w:sz w:val="24"/>
          <w:szCs w:val="24"/>
        </w:rPr>
        <w:t xml:space="preserve">behaviour </w:t>
      </w:r>
      <w:r w:rsidRPr="008244B8" w:rsidR="00EC00BA">
        <w:rPr>
          <w:rFonts w:ascii="Times New Roman" w:hAnsi="Times New Roman" w:cs="Times New Roman"/>
          <w:color w:val="222222"/>
          <w:sz w:val="24"/>
          <w:szCs w:val="24"/>
          <w:shd w:val="clear" w:color="auto" w:fill="FFFFFF"/>
        </w:rPr>
        <w:t>(</w:t>
      </w:r>
      <w:r w:rsidRPr="008244B8" w:rsidR="00EC00BA">
        <w:rPr>
          <w:rFonts w:ascii="Times New Roman" w:hAnsi="Times New Roman" w:cs="Times New Roman"/>
          <w:color w:val="222222"/>
          <w:sz w:val="24"/>
          <w:szCs w:val="24"/>
          <w:shd w:val="clear" w:color="auto" w:fill="FFFFFF"/>
        </w:rPr>
        <w:t>Agustian</w:t>
      </w:r>
      <w:r w:rsidRPr="008244B8" w:rsidR="00EC00BA">
        <w:rPr>
          <w:rFonts w:ascii="Times New Roman" w:hAnsi="Times New Roman" w:cs="Times New Roman"/>
          <w:color w:val="222222"/>
          <w:sz w:val="24"/>
          <w:szCs w:val="24"/>
          <w:shd w:val="clear" w:color="auto" w:fill="FFFFFF"/>
        </w:rPr>
        <w:t xml:space="preserve"> et al., 2023)</w:t>
      </w:r>
      <w:r w:rsidRPr="008244B8">
        <w:rPr>
          <w:rFonts w:ascii="Times New Roman" w:eastAsia="Times New Roman" w:hAnsi="Times New Roman" w:cs="Times New Roman"/>
          <w:sz w:val="24"/>
          <w:szCs w:val="24"/>
        </w:rPr>
        <w:t>. A company with engaged employees is more productive and committed and less likely to lose the best they have. HR initiatives like diversity and inclusion programs, employee wellness, and recognition schemes create a good workplace culture.</w:t>
      </w:r>
    </w:p>
    <w:p w:rsidR="002E08ED" w:rsidRPr="008244B8" w:rsidP="008244B8" w14:paraId="440CAC8D" w14:textId="77777777">
      <w:pPr>
        <w:spacing w:before="100" w:beforeAutospacing="1" w:after="100" w:afterAutospacing="1" w:line="360" w:lineRule="auto"/>
        <w:outlineLvl w:val="3"/>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4. Change Management and Organisational Agility</w:t>
      </w:r>
    </w:p>
    <w:p w:rsidR="00557BE4" w:rsidRPr="008244B8" w:rsidP="008244B8" w14:paraId="3544692A"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With the pace of technological advancement and changes in the market, organizations need to be agile. We know that HR professionals are responsible for projects that will account for installing new productivity systems and managing change. A people management approach based on strategy helps companies manage transitions such as mergers, digital transformation, or restructuring to disrupt as little as possible and buy in as much as possible</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 xml:space="preserve">(Nadkarni and </w:t>
      </w:r>
      <w:r w:rsidRPr="008244B8" w:rsidR="00EC00BA">
        <w:rPr>
          <w:rFonts w:ascii="Times New Roman" w:hAnsi="Times New Roman" w:cs="Times New Roman"/>
          <w:color w:val="222222"/>
          <w:sz w:val="24"/>
          <w:szCs w:val="24"/>
          <w:shd w:val="clear" w:color="auto" w:fill="FFFFFF"/>
        </w:rPr>
        <w:t>Prügl</w:t>
      </w:r>
      <w:r w:rsidRPr="008244B8" w:rsidR="00EC00BA">
        <w:rPr>
          <w:rFonts w:ascii="Times New Roman" w:hAnsi="Times New Roman" w:cs="Times New Roman"/>
          <w:color w:val="222222"/>
          <w:sz w:val="24"/>
          <w:szCs w:val="24"/>
          <w:shd w:val="clear" w:color="auto" w:fill="FFFFFF"/>
        </w:rPr>
        <w:t>, 2021)</w:t>
      </w:r>
      <w:r w:rsidRPr="008244B8">
        <w:rPr>
          <w:rFonts w:ascii="Times New Roman" w:eastAsia="Times New Roman" w:hAnsi="Times New Roman" w:cs="Times New Roman"/>
          <w:sz w:val="24"/>
          <w:szCs w:val="24"/>
        </w:rPr>
        <w:t>.</w:t>
      </w:r>
    </w:p>
    <w:p w:rsidR="002E08ED" w:rsidRPr="008244B8" w:rsidP="008244B8" w14:paraId="1C833A70" w14:textId="77777777">
      <w:pPr>
        <w:spacing w:before="100" w:beforeAutospacing="1" w:after="100" w:afterAutospacing="1" w:line="360" w:lineRule="auto"/>
        <w:outlineLvl w:val="3"/>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5. Compliance and Risk Management</w:t>
      </w:r>
    </w:p>
    <w:p w:rsidR="00557BE4" w:rsidRPr="008244B8" w:rsidP="008244B8" w14:paraId="7165ADC8"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 xml:space="preserve">Generally, compliance is viewed as an administrative exercise, but it carries strategic importance. To keep the company's reputation and avoid legal penalties, it is essential to follow labour laws, health and safety regulations and ethical </w:t>
      </w:r>
      <w:r w:rsidRPr="008244B8">
        <w:rPr>
          <w:rFonts w:ascii="Times New Roman" w:eastAsia="Times New Roman" w:hAnsi="Times New Roman" w:cs="Times New Roman"/>
          <w:sz w:val="24"/>
          <w:szCs w:val="24"/>
        </w:rPr>
        <w:t>labour</w:t>
      </w:r>
      <w:r w:rsidRPr="008244B8">
        <w:rPr>
          <w:rFonts w:ascii="Times New Roman" w:eastAsia="Times New Roman" w:hAnsi="Times New Roman" w:cs="Times New Roman"/>
          <w:sz w:val="24"/>
          <w:szCs w:val="24"/>
        </w:rPr>
        <w:t xml:space="preserve"> practices</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(Torres et al., 2023)</w:t>
      </w:r>
      <w:r w:rsidRPr="008244B8">
        <w:rPr>
          <w:rFonts w:ascii="Times New Roman" w:eastAsia="Times New Roman" w:hAnsi="Times New Roman" w:cs="Times New Roman"/>
          <w:sz w:val="24"/>
          <w:szCs w:val="24"/>
        </w:rPr>
        <w:t>. HR's responsibility is to fully integrate compliance in their process, ensuring that the procedures set up in place fit the needs of the business and are by legal requirements as well as corporate values.</w:t>
      </w:r>
    </w:p>
    <w:p w:rsidR="002E08ED" w:rsidRPr="008244B8" w:rsidP="008244B8" w14:paraId="64C8BC5A" w14:textId="77777777">
      <w:pPr>
        <w:spacing w:before="100" w:beforeAutospacing="1" w:after="100" w:afterAutospacing="1" w:line="360" w:lineRule="auto"/>
        <w:outlineLvl w:val="2"/>
        <w:rPr>
          <w:rFonts w:ascii="Times New Roman" w:eastAsia="Times New Roman" w:hAnsi="Times New Roman" w:cs="Times New Roman"/>
          <w:b/>
          <w:bCs/>
          <w:sz w:val="24"/>
          <w:szCs w:val="24"/>
        </w:rPr>
      </w:pPr>
      <w:r w:rsidRPr="008244B8">
        <w:rPr>
          <w:rFonts w:ascii="Times New Roman" w:eastAsia="Times New Roman" w:hAnsi="Times New Roman" w:cs="Times New Roman"/>
          <w:b/>
          <w:bCs/>
          <w:sz w:val="24"/>
          <w:szCs w:val="24"/>
        </w:rPr>
        <w:t>Striking the Right Balance</w:t>
      </w:r>
    </w:p>
    <w:p w:rsidR="00557BE4" w:rsidRPr="008244B8" w:rsidP="008244B8" w14:paraId="03EEBBB7"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 xml:space="preserve">The strategic consequences of operational activities require not forsaking such functions but, in fact, effectively integrating them into the design of strategic </w:t>
      </w:r>
      <w:r w:rsidRPr="008244B8">
        <w:rPr>
          <w:rFonts w:ascii="Times New Roman" w:eastAsia="Times New Roman" w:hAnsi="Times New Roman" w:cs="Times New Roman"/>
          <w:sz w:val="24"/>
          <w:szCs w:val="24"/>
        </w:rPr>
        <w:t>endeavours</w:t>
      </w:r>
      <w:r w:rsidRPr="008244B8">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w:t>
      </w:r>
      <w:r w:rsidRPr="008244B8" w:rsidR="00EC00BA">
        <w:rPr>
          <w:rFonts w:ascii="Times New Roman" w:hAnsi="Times New Roman" w:cs="Times New Roman"/>
          <w:color w:val="222222"/>
          <w:sz w:val="24"/>
          <w:szCs w:val="24"/>
          <w:shd w:val="clear" w:color="auto" w:fill="FFFFFF"/>
        </w:rPr>
        <w:t>Ogborigbo</w:t>
      </w:r>
      <w:r w:rsidRPr="008244B8" w:rsidR="00EC00BA">
        <w:rPr>
          <w:rFonts w:ascii="Times New Roman" w:hAnsi="Times New Roman" w:cs="Times New Roman"/>
          <w:color w:val="222222"/>
          <w:sz w:val="24"/>
          <w:szCs w:val="24"/>
          <w:shd w:val="clear" w:color="auto" w:fill="FFFFFF"/>
        </w:rPr>
        <w:t xml:space="preserve"> et al., 2024)</w:t>
      </w:r>
      <w:r w:rsidRPr="008244B8">
        <w:rPr>
          <w:rFonts w:ascii="Times New Roman" w:eastAsia="Times New Roman" w:hAnsi="Times New Roman" w:cs="Times New Roman"/>
          <w:sz w:val="24"/>
          <w:szCs w:val="24"/>
        </w:rPr>
        <w:t>. This balance will soon be achieved by many organizations playing around with technology and outsourcing routine HR activities so that HR professionals are freed to do higher-value work. An example is a cloud-based HR management system, which simplifies administrative processes and provides data analytics for strategic decision-making.</w:t>
      </w:r>
    </w:p>
    <w:p w:rsidR="00557BE4" w:rsidRPr="008244B8" w:rsidP="008244B8" w14:paraId="78A407FC"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In addition, other business functions, like HR departments, can work together with other business functions such that administrative activities are directed towards the organization's goals. An HR strategy well integrated with the business will improve operational efficiency and, over the long run, business success, depicting that there is no mutual exclusivity regarding the administrative and strategic functions.</w:t>
      </w:r>
    </w:p>
    <w:p w:rsidR="002E08ED" w:rsidRPr="008244B8" w:rsidP="008244B8" w14:paraId="47D34AB4" w14:textId="77777777">
      <w:pPr>
        <w:spacing w:line="360" w:lineRule="auto"/>
        <w:rPr>
          <w:rFonts w:ascii="Times New Roman" w:hAnsi="Times New Roman" w:cs="Times New Roman"/>
          <w:sz w:val="24"/>
          <w:szCs w:val="24"/>
        </w:rPr>
      </w:pPr>
    </w:p>
    <w:p w:rsidR="00265AFB" w:rsidRPr="008244B8" w:rsidP="008244B8" w14:paraId="0FE5B47C" w14:textId="77777777">
      <w:pPr>
        <w:spacing w:after="0" w:line="360" w:lineRule="auto"/>
        <w:jc w:val="center"/>
        <w:rPr>
          <w:rFonts w:ascii="Times New Roman" w:hAnsi="Times New Roman" w:cs="Times New Roman"/>
          <w:b/>
          <w:bCs/>
          <w:sz w:val="24"/>
          <w:szCs w:val="24"/>
        </w:rPr>
      </w:pPr>
      <w:r w:rsidRPr="008244B8">
        <w:rPr>
          <w:rFonts w:ascii="Times New Roman" w:hAnsi="Times New Roman" w:cs="Times New Roman"/>
          <w:b/>
          <w:bCs/>
          <w:sz w:val="24"/>
          <w:szCs w:val="24"/>
        </w:rPr>
        <w:t>Question 8 (AC 2.4)</w:t>
      </w:r>
    </w:p>
    <w:p w:rsidR="00265AFB" w:rsidRPr="008244B8" w:rsidP="008244B8" w14:paraId="7A49AB65" w14:textId="77777777">
      <w:pPr>
        <w:pStyle w:val="NormalWeb"/>
        <w:spacing w:line="360" w:lineRule="auto"/>
      </w:pPr>
      <w:r w:rsidRPr="008244B8">
        <w:rPr>
          <w:rStyle w:val="Strong"/>
        </w:rPr>
        <w:t>Evaluating the Critics’ View on Employee Engagement: A Practice of Intensifying Work?</w:t>
      </w:r>
    </w:p>
    <w:p w:rsidR="00265AFB" w:rsidRPr="008244B8" w:rsidP="008244B8" w14:paraId="7741444A" w14:textId="77777777">
      <w:pPr>
        <w:spacing w:line="360" w:lineRule="auto"/>
        <w:jc w:val="both"/>
        <w:rPr>
          <w:rFonts w:ascii="Times New Roman" w:hAnsi="Times New Roman" w:cs="Times New Roman"/>
          <w:sz w:val="24"/>
          <w:szCs w:val="24"/>
        </w:rPr>
      </w:pPr>
      <w:r w:rsidRPr="008244B8">
        <w:rPr>
          <w:rStyle w:val="Strong"/>
          <w:rFonts w:ascii="Times New Roman" w:hAnsi="Times New Roman" w:cs="Times New Roman"/>
          <w:sz w:val="24"/>
          <w:szCs w:val="24"/>
        </w:rPr>
        <w:t>Introduction</w:t>
      </w:r>
      <w:r w:rsidRPr="008244B8">
        <w:rPr>
          <w:rFonts w:ascii="Times New Roman" w:hAnsi="Times New Roman" w:cs="Times New Roman"/>
          <w:sz w:val="24"/>
          <w:szCs w:val="24"/>
        </w:rPr>
        <w:t xml:space="preserve"> </w:t>
      </w:r>
    </w:p>
    <w:p w:rsidR="00265AFB" w:rsidRPr="008244B8" w:rsidP="008244B8" w14:paraId="1DE5BBCD"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Employee engagement as a concept has already become a part of contemporary people management practices</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(Byrne, 2022)</w:t>
      </w:r>
      <w:r w:rsidRPr="008244B8">
        <w:rPr>
          <w:rFonts w:ascii="Times New Roman" w:eastAsia="Times New Roman" w:hAnsi="Times New Roman" w:cs="Times New Roman"/>
          <w:sz w:val="24"/>
          <w:szCs w:val="24"/>
        </w:rPr>
        <w:t>. It is being promoted widely to promote a productive, committed, and motivated workforce, which will ultimately be in the best interests of both employees and employers. However, opponents of employee engagement say that the effort it takes to engage employees is just part of a long series of management fads by which people are forced to work as hard as possible for as little pay as possible. From this perspective, engagement strategies work harder by increasing workloads, are primarily for employers' benefit, and have the effect of being stressful and draining over time. This essay critically evaluates these concerns as opposed to the solidity of these criticisms compared to the potential benefits of employee engagement.</w:t>
      </w:r>
    </w:p>
    <w:p w:rsidR="00265AFB" w:rsidRPr="008244B8" w:rsidP="008244B8" w14:paraId="11627720" w14:textId="77777777">
      <w:pPr>
        <w:pStyle w:val="NormalWeb"/>
        <w:spacing w:line="360" w:lineRule="auto"/>
      </w:pPr>
      <w:r w:rsidRPr="008244B8">
        <w:rPr>
          <w:rStyle w:val="Strong"/>
        </w:rPr>
        <w:t>The Promise of Employee Engagement</w:t>
      </w:r>
      <w:r w:rsidRPr="008244B8">
        <w:t xml:space="preserve"> </w:t>
      </w:r>
    </w:p>
    <w:p w:rsidR="00265AFB" w:rsidRPr="008244B8" w:rsidP="008244B8" w14:paraId="0980BD54"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A thesis about employee engagement denotes that it augments job satisfaction, boosts productivity, and contributes to a positive work environment. Employees engaged are usually more enthusiastic, take ownership of the tasks, and act in line with organizational goals. Businesses that successfully implement engagement strategies tend to have low turnover rates, higher innovation, and higher financial performance</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 xml:space="preserve">(Kassa and </w:t>
      </w:r>
      <w:r w:rsidRPr="008244B8" w:rsidR="00EC00BA">
        <w:rPr>
          <w:rFonts w:ascii="Times New Roman" w:hAnsi="Times New Roman" w:cs="Times New Roman"/>
          <w:color w:val="222222"/>
          <w:sz w:val="24"/>
          <w:szCs w:val="24"/>
          <w:shd w:val="clear" w:color="auto" w:fill="FFFFFF"/>
        </w:rPr>
        <w:t>Tsigu</w:t>
      </w:r>
      <w:r w:rsidRPr="008244B8" w:rsidR="00EC00BA">
        <w:rPr>
          <w:rFonts w:ascii="Times New Roman" w:hAnsi="Times New Roman" w:cs="Times New Roman"/>
          <w:color w:val="222222"/>
          <w:sz w:val="24"/>
          <w:szCs w:val="24"/>
          <w:shd w:val="clear" w:color="auto" w:fill="FFFFFF"/>
        </w:rPr>
        <w:t>, 2022)</w:t>
      </w:r>
      <w:r w:rsidRPr="008244B8">
        <w:rPr>
          <w:rFonts w:ascii="Times New Roman" w:eastAsia="Times New Roman" w:hAnsi="Times New Roman" w:cs="Times New Roman"/>
          <w:sz w:val="24"/>
          <w:szCs w:val="24"/>
        </w:rPr>
        <w:t>. However, implementing a plan to boost employee engagement ethically contributes to a feeling of membership, a tendency to work and develop professionally, and the well-being of both employees and organizations.</w:t>
      </w:r>
    </w:p>
    <w:p w:rsidR="00265AFB" w:rsidRPr="008244B8" w:rsidP="008244B8" w14:paraId="2AEBE38F"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A number of psychological theories, such as Maslow's hierarchy of needs and Herzberg's two-factor theory, add that employees want to be fulfilled, feel recognized, and be given a sense of purpose in what they do. Leadership involvement, career development opportunities, and open communication are effective engagement practices that produce an environment where employees feel properly valued and engaged rather than exploited</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w:t>
      </w:r>
      <w:r w:rsidRPr="008244B8" w:rsidR="00EC00BA">
        <w:rPr>
          <w:rFonts w:ascii="Times New Roman" w:hAnsi="Times New Roman" w:cs="Times New Roman"/>
          <w:color w:val="222222"/>
          <w:sz w:val="24"/>
          <w:szCs w:val="24"/>
          <w:shd w:val="clear" w:color="auto" w:fill="FFFFFF"/>
        </w:rPr>
        <w:t>Godbless</w:t>
      </w:r>
      <w:r w:rsidRPr="008244B8" w:rsidR="00EC00BA">
        <w:rPr>
          <w:rFonts w:ascii="Times New Roman" w:hAnsi="Times New Roman" w:cs="Times New Roman"/>
          <w:color w:val="222222"/>
          <w:sz w:val="24"/>
          <w:szCs w:val="24"/>
          <w:shd w:val="clear" w:color="auto" w:fill="FFFFFF"/>
        </w:rPr>
        <w:t>, 2021)</w:t>
      </w:r>
      <w:r w:rsidRPr="008244B8">
        <w:rPr>
          <w:rFonts w:ascii="Times New Roman" w:eastAsia="Times New Roman" w:hAnsi="Times New Roman" w:cs="Times New Roman"/>
          <w:sz w:val="24"/>
          <w:szCs w:val="24"/>
        </w:rPr>
        <w:t>.</w:t>
      </w:r>
    </w:p>
    <w:p w:rsidR="00265AFB" w:rsidRPr="008244B8" w:rsidP="008244B8" w14:paraId="3685A696" w14:textId="77777777">
      <w:pPr>
        <w:pStyle w:val="NormalWeb"/>
        <w:spacing w:line="360" w:lineRule="auto"/>
      </w:pPr>
      <w:r w:rsidRPr="008244B8">
        <w:rPr>
          <w:rStyle w:val="Strong"/>
        </w:rPr>
        <w:t>Critics’ Perspective: Intensification of Work and Employer-Centric Benefits</w:t>
      </w:r>
      <w:r w:rsidRPr="008244B8">
        <w:t xml:space="preserve"> </w:t>
      </w:r>
    </w:p>
    <w:p w:rsidR="00265AFB" w:rsidRPr="008244B8" w:rsidP="008244B8" w14:paraId="4054A6D4" w14:textId="77777777">
      <w:p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Even though there is optimistic rhetoric about employee engagement, critics argue that engagement mostly comes to pass by intensifying work and its use for the benefit of employers and the end employees. Based on several key concerns, this argument is</w:t>
      </w:r>
    </w:p>
    <w:p w:rsidR="00265AFB" w:rsidRPr="008244B8" w:rsidP="008244B8" w14:paraId="0A90E0CB" w14:textId="77777777">
      <w:pPr>
        <w:pStyle w:val="ListParagraph"/>
        <w:numPr>
          <w:ilvl w:val="0"/>
          <w:numId w:val="1"/>
        </w:num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Central Criticism: Many of the central criticisms point to the fact that engagement initiatives often end up being cases of employees working harder with less increase in compensation. Working above and beyond is an expectation that organizations promote, which results in employees working too much and too hard without boundaries</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(Adisa et al., 2022)</w:t>
      </w:r>
      <w:r w:rsidRPr="008244B8">
        <w:rPr>
          <w:rFonts w:ascii="Times New Roman" w:eastAsia="Times New Roman" w:hAnsi="Times New Roman" w:cs="Times New Roman"/>
          <w:sz w:val="24"/>
          <w:szCs w:val="24"/>
        </w:rPr>
        <w:t>. Continuous expectations to be engaged can blur personal and professional life, leading to work-life imbalance.</w:t>
      </w:r>
    </w:p>
    <w:p w:rsidR="00265AFB" w:rsidRPr="008244B8" w:rsidP="008244B8" w14:paraId="730C940D" w14:textId="77777777">
      <w:pPr>
        <w:pStyle w:val="ListParagraph"/>
        <w:numPr>
          <w:ilvl w:val="0"/>
          <w:numId w:val="1"/>
        </w:num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Emotional Labors and Psychological Pressure: Engagement strategies often involve cementing an emotional bond with the organization, where employees will have a strong personal investment in their work</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w:t>
      </w:r>
      <w:r w:rsidRPr="008244B8" w:rsidR="00EC00BA">
        <w:rPr>
          <w:rFonts w:ascii="Times New Roman" w:hAnsi="Times New Roman" w:cs="Times New Roman"/>
          <w:color w:val="222222"/>
          <w:sz w:val="24"/>
          <w:szCs w:val="24"/>
          <w:shd w:val="clear" w:color="auto" w:fill="FFFFFF"/>
        </w:rPr>
        <w:t>Ahuchogu</w:t>
      </w:r>
      <w:r w:rsidRPr="008244B8" w:rsidR="00EC00BA">
        <w:rPr>
          <w:rFonts w:ascii="Times New Roman" w:hAnsi="Times New Roman" w:cs="Times New Roman"/>
          <w:color w:val="222222"/>
          <w:sz w:val="24"/>
          <w:szCs w:val="24"/>
          <w:shd w:val="clear" w:color="auto" w:fill="FFFFFF"/>
        </w:rPr>
        <w:t xml:space="preserve"> et al., 2024)</w:t>
      </w:r>
      <w:r w:rsidRPr="008244B8">
        <w:rPr>
          <w:rFonts w:ascii="Times New Roman" w:eastAsia="Times New Roman" w:hAnsi="Times New Roman" w:cs="Times New Roman"/>
          <w:sz w:val="24"/>
          <w:szCs w:val="24"/>
        </w:rPr>
        <w:t>. This can raise motivation but also cause emotional exhaustion. In such cases, employee</w:t>
      </w:r>
      <w:r w:rsidRPr="008244B8" w:rsidR="00F4440A">
        <w:rPr>
          <w:rFonts w:ascii="Times New Roman" w:eastAsia="Times New Roman" w:hAnsi="Times New Roman" w:cs="Times New Roman"/>
          <w:sz w:val="24"/>
          <w:szCs w:val="24"/>
        </w:rPr>
        <w:t>s</w:t>
      </w:r>
      <w:r w:rsidRPr="008244B8">
        <w:rPr>
          <w:rFonts w:ascii="Times New Roman" w:eastAsia="Times New Roman" w:hAnsi="Times New Roman" w:cs="Times New Roman"/>
          <w:sz w:val="24"/>
          <w:szCs w:val="24"/>
        </w:rPr>
        <w:t xml:space="preserve"> feel compelled to stay enthusiastic and dedicated to the job even when drained due to stress, dissatisfaction, or burnout.</w:t>
      </w:r>
    </w:p>
    <w:p w:rsidR="00265AFB" w:rsidRPr="008244B8" w:rsidP="008244B8" w14:paraId="44989B6D" w14:textId="77777777">
      <w:pPr>
        <w:pStyle w:val="ListParagraph"/>
        <w:numPr>
          <w:ilvl w:val="0"/>
          <w:numId w:val="1"/>
        </w:numPr>
        <w:spacing w:line="360" w:lineRule="auto"/>
        <w:jc w:val="both"/>
        <w:rPr>
          <w:rFonts w:ascii="Times New Roman" w:eastAsia="Times New Roman" w:hAnsi="Times New Roman" w:cs="Times New Roman"/>
          <w:sz w:val="24"/>
          <w:szCs w:val="24"/>
        </w:rPr>
      </w:pPr>
      <w:r w:rsidRPr="008244B8">
        <w:rPr>
          <w:rFonts w:ascii="Times New Roman" w:eastAsia="Times New Roman" w:hAnsi="Times New Roman" w:cs="Times New Roman"/>
          <w:sz w:val="24"/>
          <w:szCs w:val="24"/>
        </w:rPr>
        <w:t>Increased Surveillance and Control: Another critique of this is that engagement initiatives are subtle forms of control</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 xml:space="preserve">(De </w:t>
      </w:r>
      <w:r w:rsidRPr="008244B8" w:rsidR="00EC00BA">
        <w:rPr>
          <w:rFonts w:ascii="Times New Roman" w:hAnsi="Times New Roman" w:cs="Times New Roman"/>
          <w:color w:val="222222"/>
          <w:sz w:val="24"/>
          <w:szCs w:val="24"/>
          <w:shd w:val="clear" w:color="auto" w:fill="FFFFFF"/>
        </w:rPr>
        <w:t>Vaujany</w:t>
      </w:r>
      <w:r w:rsidRPr="008244B8" w:rsidR="00EC00BA">
        <w:rPr>
          <w:rFonts w:ascii="Times New Roman" w:hAnsi="Times New Roman" w:cs="Times New Roman"/>
          <w:color w:val="222222"/>
          <w:sz w:val="24"/>
          <w:szCs w:val="24"/>
          <w:shd w:val="clear" w:color="auto" w:fill="FFFFFF"/>
        </w:rPr>
        <w:t xml:space="preserve"> et al., 2021)</w:t>
      </w:r>
      <w:r w:rsidRPr="008244B8">
        <w:rPr>
          <w:rFonts w:ascii="Times New Roman" w:eastAsia="Times New Roman" w:hAnsi="Times New Roman" w:cs="Times New Roman"/>
          <w:sz w:val="24"/>
          <w:szCs w:val="24"/>
        </w:rPr>
        <w:t xml:space="preserve">. Organizations utilize engagement surveys, performance monitoring, and feedback to track employee commitment and enthusiasm. Employees not meeting engagement expectations </w:t>
      </w:r>
      <w:r w:rsidRPr="008244B8" w:rsidR="00F4440A">
        <w:rPr>
          <w:rFonts w:ascii="Times New Roman" w:eastAsia="Times New Roman" w:hAnsi="Times New Roman" w:cs="Times New Roman"/>
          <w:sz w:val="24"/>
          <w:szCs w:val="24"/>
        </w:rPr>
        <w:t>are</w:t>
      </w:r>
      <w:r w:rsidRPr="008244B8">
        <w:rPr>
          <w:rFonts w:ascii="Times New Roman" w:eastAsia="Times New Roman" w:hAnsi="Times New Roman" w:cs="Times New Roman"/>
          <w:sz w:val="24"/>
          <w:szCs w:val="24"/>
        </w:rPr>
        <w:t xml:space="preserve"> unmotivated, affecting their career growth opportunities and job security.</w:t>
      </w:r>
    </w:p>
    <w:p w:rsidR="00265AFB" w:rsidRPr="00B05877" w:rsidP="008244B8" w14:paraId="2D8F833C" w14:textId="77777777">
      <w:pPr>
        <w:pStyle w:val="ListParagraph"/>
        <w:numPr>
          <w:ilvl w:val="0"/>
          <w:numId w:val="1"/>
        </w:numPr>
        <w:spacing w:line="360" w:lineRule="auto"/>
        <w:jc w:val="both"/>
        <w:rPr>
          <w:rFonts w:ascii="Times New Roman" w:hAnsi="Times New Roman" w:cs="Times New Roman"/>
          <w:sz w:val="24"/>
          <w:szCs w:val="24"/>
        </w:rPr>
      </w:pPr>
      <w:r w:rsidRPr="008244B8">
        <w:rPr>
          <w:rFonts w:ascii="Times New Roman" w:eastAsia="Times New Roman" w:hAnsi="Times New Roman" w:cs="Times New Roman"/>
          <w:sz w:val="24"/>
          <w:szCs w:val="24"/>
        </w:rPr>
        <w:t xml:space="preserve">Employee engagement programs lead to Workplace Stress and Burnout: When workplace stress and burnout result from improperly deployed employee engagement programs, the company and the employees lose. </w:t>
      </w:r>
      <w:r w:rsidRPr="008244B8" w:rsidR="00F4440A">
        <w:rPr>
          <w:rFonts w:ascii="Times New Roman" w:eastAsia="Times New Roman" w:hAnsi="Times New Roman" w:cs="Times New Roman"/>
          <w:sz w:val="24"/>
          <w:szCs w:val="24"/>
        </w:rPr>
        <w:t>P</w:t>
      </w:r>
      <w:r w:rsidRPr="008244B8">
        <w:rPr>
          <w:rFonts w:ascii="Times New Roman" w:eastAsia="Times New Roman" w:hAnsi="Times New Roman" w:cs="Times New Roman"/>
          <w:sz w:val="24"/>
          <w:szCs w:val="24"/>
        </w:rPr>
        <w:t xml:space="preserve">ressure develops to stay engaged and productive, and as a result, one </w:t>
      </w:r>
      <w:r w:rsidRPr="008244B8" w:rsidR="00E0183E">
        <w:rPr>
          <w:rFonts w:ascii="Times New Roman" w:eastAsia="Times New Roman" w:hAnsi="Times New Roman" w:cs="Times New Roman"/>
          <w:sz w:val="24"/>
          <w:szCs w:val="24"/>
        </w:rPr>
        <w:t>remains</w:t>
      </w:r>
      <w:r w:rsidRPr="008244B8">
        <w:rPr>
          <w:rFonts w:ascii="Times New Roman" w:eastAsia="Times New Roman" w:hAnsi="Times New Roman" w:cs="Times New Roman"/>
          <w:sz w:val="24"/>
          <w:szCs w:val="24"/>
        </w:rPr>
        <w:t xml:space="preserve"> chronically fatigued, is less satisfied on the job, faces terrible mental health, </w:t>
      </w:r>
      <w:r w:rsidRPr="008244B8">
        <w:rPr>
          <w:rFonts w:ascii="Times New Roman" w:eastAsia="Times New Roman" w:hAnsi="Times New Roman" w:cs="Times New Roman"/>
          <w:sz w:val="24"/>
          <w:szCs w:val="24"/>
        </w:rPr>
        <w:t>etc</w:t>
      </w:r>
      <w:r w:rsidRPr="008244B8" w:rsidR="00EC00BA">
        <w:rPr>
          <w:rFonts w:ascii="Times New Roman" w:eastAsia="Times New Roman" w:hAnsi="Times New Roman" w:cs="Times New Roman"/>
          <w:sz w:val="24"/>
          <w:szCs w:val="24"/>
        </w:rPr>
        <w:t xml:space="preserve">. </w:t>
      </w:r>
      <w:r w:rsidRPr="008244B8" w:rsidR="00EC00BA">
        <w:rPr>
          <w:rFonts w:ascii="Times New Roman" w:hAnsi="Times New Roman" w:cs="Times New Roman"/>
          <w:color w:val="222222"/>
          <w:sz w:val="24"/>
          <w:szCs w:val="24"/>
          <w:shd w:val="clear" w:color="auto" w:fill="FFFFFF"/>
        </w:rPr>
        <w:t>(Kumar et al., 2024)</w:t>
      </w:r>
      <w:r w:rsidRPr="008244B8">
        <w:rPr>
          <w:rFonts w:ascii="Times New Roman" w:eastAsia="Times New Roman" w:hAnsi="Times New Roman" w:cs="Times New Roman"/>
          <w:sz w:val="24"/>
          <w:szCs w:val="24"/>
        </w:rPr>
        <w:t>. Engagement is associated with long hours and unreasonable performance objectives in highly demanding industries.</w:t>
      </w:r>
    </w:p>
    <w:p w:rsidR="00B05877" w:rsidRPr="00B05877" w:rsidP="00B05877" w14:paraId="75AA5814" w14:textId="77777777">
      <w:pPr>
        <w:spacing w:before="100" w:beforeAutospacing="1" w:after="100" w:afterAutospacing="1" w:line="360" w:lineRule="auto"/>
        <w:rPr>
          <w:rFonts w:ascii="Times New Roman" w:eastAsia="Times New Roman" w:hAnsi="Times New Roman" w:cs="Times New Roman"/>
          <w:sz w:val="24"/>
          <w:szCs w:val="24"/>
        </w:rPr>
      </w:pPr>
      <w:r w:rsidRPr="00B05877">
        <w:rPr>
          <w:rFonts w:ascii="Times New Roman" w:eastAsia="Times New Roman" w:hAnsi="Times New Roman" w:cs="Times New Roman"/>
          <w:b/>
          <w:bCs/>
          <w:sz w:val="24"/>
          <w:szCs w:val="24"/>
        </w:rPr>
        <w:t>Balancing Engagement and Employee Well-Being</w:t>
      </w:r>
      <w:r w:rsidRPr="00B05877">
        <w:rPr>
          <w:rFonts w:ascii="Times New Roman" w:eastAsia="Times New Roman" w:hAnsi="Times New Roman" w:cs="Times New Roman"/>
          <w:sz w:val="24"/>
          <w:szCs w:val="24"/>
        </w:rPr>
        <w:t xml:space="preserve"> </w:t>
      </w:r>
    </w:p>
    <w:p w:rsidR="00B05877" w:rsidRPr="00B05877" w:rsidP="00B05877" w14:paraId="2301FBD1" w14:textId="77777777">
      <w:p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Critics raise legitimate questions, but that does not mean that the adverse outcomes of implementing employee engagement are a natural result of employee engagement. An ethical and sustainable engagement practice should </w:t>
      </w:r>
      <w:r w:rsidRPr="00B05877">
        <w:rPr>
          <w:rFonts w:ascii="Times New Roman" w:eastAsia="Times New Roman" w:hAnsi="Times New Roman" w:cs="Times New Roman"/>
          <w:sz w:val="24"/>
          <w:szCs w:val="24"/>
        </w:rPr>
        <w:t>prioritize</w:t>
      </w:r>
      <w:r w:rsidRPr="00B05877">
        <w:rPr>
          <w:rFonts w:ascii="Times New Roman" w:eastAsia="Times New Roman" w:hAnsi="Times New Roman" w:cs="Times New Roman"/>
          <w:sz w:val="24"/>
          <w:szCs w:val="24"/>
        </w:rPr>
        <w:t xml:space="preserve"> the employee's well-being instead of just the </w:t>
      </w:r>
      <w:r w:rsidRPr="00B05877">
        <w:rPr>
          <w:rFonts w:ascii="Times New Roman" w:eastAsia="Times New Roman" w:hAnsi="Times New Roman" w:cs="Times New Roman"/>
          <w:sz w:val="24"/>
          <w:szCs w:val="24"/>
        </w:rPr>
        <w:t>organization's</w:t>
      </w:r>
      <w:r w:rsidRPr="00B05877">
        <w:rPr>
          <w:rFonts w:ascii="Times New Roman" w:eastAsia="Times New Roman" w:hAnsi="Times New Roman" w:cs="Times New Roman"/>
          <w:sz w:val="24"/>
          <w:szCs w:val="24"/>
        </w:rPr>
        <w:t xml:space="preserve"> goal </w:t>
      </w:r>
      <w:r w:rsidRPr="00B05877">
        <w:rPr>
          <w:rFonts w:ascii="Times New Roman" w:hAnsi="Times New Roman" w:cs="Times New Roman"/>
          <w:color w:val="222222"/>
          <w:sz w:val="24"/>
          <w:szCs w:val="24"/>
          <w:shd w:val="clear" w:color="auto" w:fill="FFFFFF"/>
        </w:rPr>
        <w:t>(Rajashekar and Jain, 2024)</w:t>
      </w:r>
      <w:r w:rsidRPr="00B05877">
        <w:rPr>
          <w:rFonts w:ascii="Times New Roman" w:eastAsia="Times New Roman" w:hAnsi="Times New Roman" w:cs="Times New Roman"/>
          <w:sz w:val="24"/>
          <w:szCs w:val="24"/>
        </w:rPr>
        <w:t xml:space="preserve">. </w:t>
      </w:r>
      <w:r w:rsidRPr="00B05877">
        <w:rPr>
          <w:rFonts w:ascii="Times New Roman" w:eastAsia="Times New Roman" w:hAnsi="Times New Roman" w:cs="Times New Roman"/>
          <w:sz w:val="24"/>
          <w:szCs w:val="24"/>
        </w:rPr>
        <w:t>Organizations</w:t>
      </w:r>
      <w:r w:rsidRPr="00B05877">
        <w:rPr>
          <w:rFonts w:ascii="Times New Roman" w:eastAsia="Times New Roman" w:hAnsi="Times New Roman" w:cs="Times New Roman"/>
          <w:sz w:val="24"/>
          <w:szCs w:val="24"/>
        </w:rPr>
        <w:t xml:space="preserve"> can use several strategies to help balance engagement and well-being.</w:t>
      </w:r>
    </w:p>
    <w:p w:rsidR="00B05877" w:rsidRPr="00B05877" w:rsidP="00B05877" w14:paraId="1E2640D8" w14:textId="77777777">
      <w:pPr>
        <w:pStyle w:val="ListParagraph"/>
        <w:numPr>
          <w:ilvl w:val="0"/>
          <w:numId w:val="2"/>
        </w:num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Terminating Engagement is No Longer Working Harder: Employers must </w:t>
      </w:r>
      <w:r w:rsidRPr="00B05877">
        <w:rPr>
          <w:rFonts w:ascii="Times New Roman" w:eastAsia="Times New Roman" w:hAnsi="Times New Roman" w:cs="Times New Roman"/>
          <w:sz w:val="24"/>
          <w:szCs w:val="24"/>
        </w:rPr>
        <w:t>realize</w:t>
      </w:r>
      <w:r w:rsidRPr="00B05877">
        <w:rPr>
          <w:rFonts w:ascii="Times New Roman" w:eastAsia="Times New Roman" w:hAnsi="Times New Roman" w:cs="Times New Roman"/>
          <w:sz w:val="24"/>
          <w:szCs w:val="24"/>
        </w:rPr>
        <w:t xml:space="preserve"> that working hard does not equal the word engagement. Job satisfaction, career development and a healthy work environment should be as authentic engagement </w:t>
      </w:r>
      <w:r w:rsidRPr="00B05877">
        <w:rPr>
          <w:rFonts w:ascii="Times New Roman" w:hAnsi="Times New Roman" w:cs="Times New Roman"/>
          <w:color w:val="222222"/>
          <w:sz w:val="24"/>
          <w:szCs w:val="24"/>
          <w:shd w:val="clear" w:color="auto" w:fill="FFFFFF"/>
        </w:rPr>
        <w:t>(Susanto, 2022)</w:t>
      </w:r>
      <w:r w:rsidRPr="00B05877">
        <w:rPr>
          <w:rFonts w:ascii="Times New Roman" w:eastAsia="Times New Roman" w:hAnsi="Times New Roman" w:cs="Times New Roman"/>
          <w:sz w:val="24"/>
          <w:szCs w:val="24"/>
        </w:rPr>
        <w:t xml:space="preserve">. Extracting more effort from their staff is not the prominent focus </w:t>
      </w:r>
      <w:r w:rsidRPr="00B05877">
        <w:rPr>
          <w:rFonts w:ascii="Times New Roman" w:eastAsia="Times New Roman" w:hAnsi="Times New Roman" w:cs="Times New Roman"/>
          <w:sz w:val="24"/>
          <w:szCs w:val="24"/>
        </w:rPr>
        <w:t>organizations</w:t>
      </w:r>
      <w:r w:rsidRPr="00B05877">
        <w:rPr>
          <w:rFonts w:ascii="Times New Roman" w:eastAsia="Times New Roman" w:hAnsi="Times New Roman" w:cs="Times New Roman"/>
          <w:sz w:val="24"/>
          <w:szCs w:val="24"/>
        </w:rPr>
        <w:t xml:space="preserve"> need to focus on.</w:t>
      </w:r>
    </w:p>
    <w:p w:rsidR="00B05877" w:rsidRPr="00B05877" w:rsidP="00B05877" w14:paraId="3C924F9F" w14:textId="77777777">
      <w:pPr>
        <w:pStyle w:val="ListParagraph"/>
        <w:numPr>
          <w:ilvl w:val="0"/>
          <w:numId w:val="2"/>
        </w:num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Having a clear separation between work and life: </w:t>
      </w:r>
      <w:r w:rsidRPr="00B05877">
        <w:rPr>
          <w:rFonts w:ascii="Times New Roman" w:eastAsia="Times New Roman" w:hAnsi="Times New Roman" w:cs="Times New Roman"/>
          <w:sz w:val="24"/>
          <w:szCs w:val="24"/>
        </w:rPr>
        <w:t>Organizations</w:t>
      </w:r>
      <w:r w:rsidRPr="00B05877">
        <w:rPr>
          <w:rFonts w:ascii="Times New Roman" w:eastAsia="Times New Roman" w:hAnsi="Times New Roman" w:cs="Times New Roman"/>
          <w:sz w:val="24"/>
          <w:szCs w:val="24"/>
        </w:rPr>
        <w:t xml:space="preserve"> encourage engagement without overworking the employees. Burnout can be avoided at the same time as motivation and commitment maintained by having flexible work arrangements, reasonable workload expectations, and respect for personal time </w:t>
      </w:r>
      <w:r w:rsidRPr="00B05877">
        <w:rPr>
          <w:rFonts w:ascii="Times New Roman" w:hAnsi="Times New Roman" w:cs="Times New Roman"/>
          <w:color w:val="222222"/>
          <w:sz w:val="24"/>
          <w:szCs w:val="24"/>
          <w:shd w:val="clear" w:color="auto" w:fill="FFFFFF"/>
        </w:rPr>
        <w:t>(Maslach and Leiter, 2022)</w:t>
      </w:r>
      <w:r w:rsidRPr="00B05877">
        <w:rPr>
          <w:rFonts w:ascii="Times New Roman" w:eastAsia="Times New Roman" w:hAnsi="Times New Roman" w:cs="Times New Roman"/>
          <w:sz w:val="24"/>
          <w:szCs w:val="24"/>
        </w:rPr>
        <w:t>.</w:t>
      </w:r>
    </w:p>
    <w:p w:rsidR="00B05877" w:rsidRPr="00B05877" w:rsidP="00B05877" w14:paraId="54056698" w14:textId="77777777">
      <w:pPr>
        <w:pStyle w:val="ListParagraph"/>
        <w:numPr>
          <w:ilvl w:val="0"/>
          <w:numId w:val="2"/>
        </w:num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Authentic Leadership and Open Communication: A leader with a transparent, empathetic approach to leadership and focuses on employee feedback creates engagement initiatives </w:t>
      </w:r>
      <w:r w:rsidRPr="00B05877">
        <w:rPr>
          <w:rFonts w:ascii="Times New Roman" w:eastAsia="Times New Roman" w:hAnsi="Times New Roman" w:cs="Times New Roman"/>
          <w:sz w:val="24"/>
          <w:szCs w:val="24"/>
        </w:rPr>
        <w:t xml:space="preserve">congruent with workers' needs </w:t>
      </w:r>
      <w:r w:rsidRPr="00B05877">
        <w:rPr>
          <w:rFonts w:ascii="Times New Roman" w:hAnsi="Times New Roman" w:cs="Times New Roman"/>
          <w:color w:val="222222"/>
          <w:sz w:val="24"/>
          <w:szCs w:val="24"/>
          <w:shd w:val="clear" w:color="auto" w:fill="FFFFFF"/>
        </w:rPr>
        <w:t>(</w:t>
      </w:r>
      <w:r w:rsidRPr="00B05877">
        <w:rPr>
          <w:rFonts w:ascii="Times New Roman" w:hAnsi="Times New Roman" w:cs="Times New Roman"/>
          <w:color w:val="222222"/>
          <w:sz w:val="24"/>
          <w:szCs w:val="24"/>
          <w:shd w:val="clear" w:color="auto" w:fill="FFFFFF"/>
        </w:rPr>
        <w:t>Obuba</w:t>
      </w:r>
      <w:r w:rsidRPr="00B05877">
        <w:rPr>
          <w:rFonts w:ascii="Times New Roman" w:hAnsi="Times New Roman" w:cs="Times New Roman"/>
          <w:color w:val="222222"/>
          <w:sz w:val="24"/>
          <w:szCs w:val="24"/>
          <w:shd w:val="clear" w:color="auto" w:fill="FFFFFF"/>
        </w:rPr>
        <w:t>, 2023)</w:t>
      </w:r>
      <w:r w:rsidRPr="00B05877">
        <w:rPr>
          <w:rFonts w:ascii="Times New Roman" w:eastAsia="Times New Roman" w:hAnsi="Times New Roman" w:cs="Times New Roman"/>
          <w:sz w:val="24"/>
          <w:szCs w:val="24"/>
        </w:rPr>
        <w:t>. Worker shouldn't be afraid to express their concerns related to workload and stress, but they should also not have anything to fear.</w:t>
      </w:r>
    </w:p>
    <w:p w:rsidR="00B05877" w:rsidRPr="00B05877" w:rsidP="00B05877" w14:paraId="6E3DBB45" w14:textId="77777777">
      <w:pPr>
        <w:pStyle w:val="ListParagraph"/>
        <w:numPr>
          <w:ilvl w:val="0"/>
          <w:numId w:val="2"/>
        </w:num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Engagement Initiatives: Engagement initiatives should benefit employers and employees </w:t>
      </w:r>
      <w:r w:rsidRPr="00B05877">
        <w:rPr>
          <w:rFonts w:ascii="Times New Roman" w:hAnsi="Times New Roman" w:cs="Times New Roman"/>
          <w:color w:val="222222"/>
          <w:sz w:val="24"/>
          <w:szCs w:val="24"/>
          <w:shd w:val="clear" w:color="auto" w:fill="FFFFFF"/>
        </w:rPr>
        <w:t>(Saini et al., 2021)</w:t>
      </w:r>
      <w:r w:rsidRPr="00B05877">
        <w:rPr>
          <w:rFonts w:ascii="Times New Roman" w:eastAsia="Times New Roman" w:hAnsi="Times New Roman" w:cs="Times New Roman"/>
          <w:sz w:val="24"/>
          <w:szCs w:val="24"/>
        </w:rPr>
        <w:t xml:space="preserve">. Real engagement does not involve coerced effort but rather the genuine engagement of offering career development opportunities, </w:t>
      </w:r>
      <w:r w:rsidRPr="00B05877">
        <w:rPr>
          <w:rFonts w:ascii="Times New Roman" w:eastAsia="Times New Roman" w:hAnsi="Times New Roman" w:cs="Times New Roman"/>
          <w:sz w:val="24"/>
          <w:szCs w:val="24"/>
        </w:rPr>
        <w:t>recognizing</w:t>
      </w:r>
      <w:r w:rsidRPr="00B05877">
        <w:rPr>
          <w:rFonts w:ascii="Times New Roman" w:eastAsia="Times New Roman" w:hAnsi="Times New Roman" w:cs="Times New Roman"/>
          <w:sz w:val="24"/>
          <w:szCs w:val="24"/>
        </w:rPr>
        <w:t xml:space="preserve"> achievements, and allowing employees to feel autonomy.</w:t>
      </w:r>
    </w:p>
    <w:p w:rsidR="00B05877" w:rsidRPr="00B05877" w:rsidP="00B05877" w14:paraId="51462F0A" w14:textId="77777777">
      <w:p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Requiring people, especially those of us who have less social status and power, to engage more effectively at work when faced with a corporate tool that is exploitative, stressful, and damaging to our health is a legitimate worry. Nevertheless, engagement is not inherently harmful, but how an </w:t>
      </w:r>
      <w:r w:rsidRPr="00B05877">
        <w:rPr>
          <w:rFonts w:ascii="Times New Roman" w:eastAsia="Times New Roman" w:hAnsi="Times New Roman" w:cs="Times New Roman"/>
          <w:sz w:val="24"/>
          <w:szCs w:val="24"/>
        </w:rPr>
        <w:t>organization</w:t>
      </w:r>
      <w:r w:rsidRPr="00B05877">
        <w:rPr>
          <w:rFonts w:ascii="Times New Roman" w:eastAsia="Times New Roman" w:hAnsi="Times New Roman" w:cs="Times New Roman"/>
          <w:sz w:val="24"/>
          <w:szCs w:val="24"/>
        </w:rPr>
        <w:t xml:space="preserve"> enters into engagement strategies affects the consequences. When approached ethically and focused on employee well-being, engagement can be a powerful tool in increasing job satisfaction, productivity, and </w:t>
      </w:r>
      <w:r w:rsidRPr="00B05877">
        <w:rPr>
          <w:rFonts w:ascii="Times New Roman" w:eastAsia="Times New Roman" w:hAnsi="Times New Roman" w:cs="Times New Roman"/>
          <w:sz w:val="24"/>
          <w:szCs w:val="24"/>
        </w:rPr>
        <w:t>organizational</w:t>
      </w:r>
      <w:r w:rsidRPr="00B05877">
        <w:rPr>
          <w:rFonts w:ascii="Times New Roman" w:eastAsia="Times New Roman" w:hAnsi="Times New Roman" w:cs="Times New Roman"/>
          <w:sz w:val="24"/>
          <w:szCs w:val="24"/>
        </w:rPr>
        <w:t xml:space="preserve"> success </w:t>
      </w:r>
      <w:r w:rsidRPr="00B05877">
        <w:rPr>
          <w:rFonts w:ascii="Times New Roman" w:hAnsi="Times New Roman" w:cs="Times New Roman"/>
          <w:color w:val="222222"/>
          <w:sz w:val="24"/>
          <w:szCs w:val="24"/>
          <w:shd w:val="clear" w:color="auto" w:fill="FFFFFF"/>
        </w:rPr>
        <w:t>(Sypniewska et al., 2023)</w:t>
      </w:r>
      <w:r w:rsidRPr="00B05877">
        <w:rPr>
          <w:rFonts w:ascii="Times New Roman" w:eastAsia="Times New Roman" w:hAnsi="Times New Roman" w:cs="Times New Roman"/>
          <w:sz w:val="24"/>
          <w:szCs w:val="24"/>
        </w:rPr>
        <w:t xml:space="preserve">. However, it must be done so that engagement initiatives are not merely increasing workloads and stress levels but increase in a way in which employees feel valued, supported and motivated sustainably. Employee engagement becomes another source of </w:t>
      </w:r>
      <w:r w:rsidRPr="00B05877">
        <w:rPr>
          <w:rFonts w:ascii="Times New Roman" w:eastAsia="Times New Roman" w:hAnsi="Times New Roman" w:cs="Times New Roman"/>
          <w:sz w:val="24"/>
          <w:szCs w:val="24"/>
        </w:rPr>
        <w:t>labour</w:t>
      </w:r>
      <w:r w:rsidRPr="00B05877">
        <w:rPr>
          <w:rFonts w:ascii="Times New Roman" w:eastAsia="Times New Roman" w:hAnsi="Times New Roman" w:cs="Times New Roman"/>
          <w:sz w:val="24"/>
          <w:szCs w:val="24"/>
        </w:rPr>
        <w:t xml:space="preserve"> intensification and a beneficial practice through such a balance.</w:t>
      </w:r>
    </w:p>
    <w:p w:rsidR="00B05877" w:rsidRPr="00B05877" w:rsidP="00B05877" w14:paraId="0C877EE8" w14:textId="77777777">
      <w:pPr>
        <w:rPr>
          <w:rFonts w:ascii="Times New Roman" w:hAnsi="Times New Roman" w:cs="Times New Roman"/>
          <w:sz w:val="24"/>
          <w:szCs w:val="24"/>
        </w:rPr>
      </w:pPr>
      <w:r>
        <w:rPr>
          <w:rFonts w:ascii="Times New Roman" w:hAnsi="Times New Roman" w:cs="Times New Roman"/>
          <w:sz w:val="24"/>
          <w:szCs w:val="24"/>
        </w:rPr>
        <w:br w:type="page"/>
      </w:r>
    </w:p>
    <w:p w:rsidR="00B05877" w:rsidRPr="00B05877" w:rsidP="00B05877" w14:paraId="451C4FD1" w14:textId="77777777">
      <w:pPr>
        <w:spacing w:line="360" w:lineRule="auto"/>
        <w:jc w:val="center"/>
        <w:rPr>
          <w:rFonts w:ascii="Times New Roman" w:hAnsi="Times New Roman" w:cs="Times New Roman"/>
          <w:b/>
          <w:sz w:val="24"/>
          <w:szCs w:val="24"/>
        </w:rPr>
      </w:pPr>
      <w:r w:rsidRPr="00B05877">
        <w:rPr>
          <w:rFonts w:ascii="Times New Roman" w:hAnsi="Times New Roman" w:cs="Times New Roman"/>
          <w:b/>
          <w:sz w:val="24"/>
          <w:szCs w:val="24"/>
        </w:rPr>
        <w:t>Question 11 (AC 3.3)</w:t>
      </w:r>
    </w:p>
    <w:p w:rsidR="00B05877" w:rsidRPr="00B05877" w:rsidP="00B05877" w14:paraId="6A2ECDFB" w14:textId="77777777">
      <w:pPr>
        <w:pStyle w:val="NormalWeb"/>
        <w:spacing w:line="360" w:lineRule="auto"/>
      </w:pPr>
      <w:r w:rsidRPr="00B05877">
        <w:rPr>
          <w:rStyle w:val="Strong"/>
        </w:rPr>
        <w:t>Introduction</w:t>
      </w:r>
      <w:r w:rsidRPr="00B05877">
        <w:t xml:space="preserve"> </w:t>
      </w:r>
    </w:p>
    <w:p w:rsidR="00B05877" w:rsidRPr="00B05877" w:rsidP="00B05877" w14:paraId="20A0F3D9" w14:textId="77777777">
      <w:p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Technology has changed how </w:t>
      </w:r>
      <w:r w:rsidRPr="00B05877">
        <w:rPr>
          <w:rFonts w:ascii="Times New Roman" w:eastAsia="Times New Roman" w:hAnsi="Times New Roman" w:cs="Times New Roman"/>
          <w:sz w:val="24"/>
          <w:szCs w:val="24"/>
        </w:rPr>
        <w:t>organizations</w:t>
      </w:r>
      <w:r w:rsidRPr="00B05877">
        <w:rPr>
          <w:rFonts w:ascii="Times New Roman" w:eastAsia="Times New Roman" w:hAnsi="Times New Roman" w:cs="Times New Roman"/>
          <w:sz w:val="24"/>
          <w:szCs w:val="24"/>
        </w:rPr>
        <w:t xml:space="preserve"> recruit, hire, train, upskill, manage, and engage people. With the increasing speed of digital advancement, artificial intelligence (AI), automation, and data analytics are increasingly harnessed by people management functions to achieve efficiency, decision making and employee experience </w:t>
      </w:r>
      <w:r w:rsidRPr="00B05877">
        <w:rPr>
          <w:rFonts w:ascii="Times New Roman" w:hAnsi="Times New Roman" w:cs="Times New Roman"/>
          <w:color w:val="222222"/>
          <w:sz w:val="24"/>
          <w:szCs w:val="24"/>
          <w:shd w:val="clear" w:color="auto" w:fill="FFFFFF"/>
        </w:rPr>
        <w:t>(Okpala et al., 2023)</w:t>
      </w:r>
      <w:r w:rsidRPr="00B05877">
        <w:rPr>
          <w:rFonts w:ascii="Times New Roman" w:eastAsia="Times New Roman" w:hAnsi="Times New Roman" w:cs="Times New Roman"/>
          <w:sz w:val="24"/>
          <w:szCs w:val="24"/>
        </w:rPr>
        <w:t>. One of these advancements is generative AI, becoming one of the most transformational forces to transform human resource management further. This essay examines the most significant ways technology is altering the people management part of a business. Additionally, it assesses technology to what extent generative AI will impact things in the future.</w:t>
      </w:r>
    </w:p>
    <w:p w:rsidR="00B05877" w:rsidRPr="00B05877" w:rsidP="00B05877" w14:paraId="59B78141" w14:textId="77777777">
      <w:pPr>
        <w:pStyle w:val="NormalWeb"/>
        <w:spacing w:line="360" w:lineRule="auto"/>
      </w:pPr>
      <w:r w:rsidRPr="00B05877">
        <w:rPr>
          <w:rStyle w:val="Strong"/>
        </w:rPr>
        <w:t>Major Ways Technology is Transforming People Management</w:t>
      </w:r>
    </w:p>
    <w:p w:rsidR="00B05877" w:rsidRPr="00B05877" w:rsidP="00B05877" w14:paraId="6FE68802" w14:textId="77777777">
      <w:pPr>
        <w:pStyle w:val="NormalWeb"/>
        <w:spacing w:line="360" w:lineRule="auto"/>
      </w:pPr>
      <w:r w:rsidRPr="00B05877">
        <w:rPr>
          <w:rStyle w:val="Strong"/>
        </w:rPr>
        <w:t>Recruitment and Talent Acquisition</w:t>
      </w:r>
      <w:r w:rsidRPr="00B05877">
        <w:t xml:space="preserve"> </w:t>
      </w:r>
    </w:p>
    <w:p w:rsidR="00B05877" w:rsidRPr="00B05877" w:rsidP="00B05877" w14:paraId="79FC960E" w14:textId="77777777">
      <w:p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The area of recruitment is, without a doubt, one of the most significant impacts of technology on people management. Standard recruiting takes a lot of time, </w:t>
      </w:r>
      <w:r w:rsidRPr="00B05877">
        <w:rPr>
          <w:rFonts w:ascii="Times New Roman" w:eastAsia="Times New Roman" w:hAnsi="Times New Roman" w:cs="Times New Roman"/>
          <w:sz w:val="24"/>
          <w:szCs w:val="24"/>
        </w:rPr>
        <w:t>utili</w:t>
      </w:r>
      <w:r w:rsidRPr="00B05877">
        <w:rPr>
          <w:rFonts w:ascii="Times New Roman" w:eastAsia="Times New Roman" w:hAnsi="Times New Roman" w:cs="Times New Roman"/>
          <w:sz w:val="24"/>
          <w:szCs w:val="24"/>
        </w:rPr>
        <w:t xml:space="preserve">zes a lot of manual screening, and requires subjective decision-making. Applicant tracking systems (ATS) have recently emerged and are powered by AI algorithms, and companies can now spit out tens of thousands of applications in seconds </w:t>
      </w:r>
      <w:r w:rsidRPr="00B05877">
        <w:rPr>
          <w:rFonts w:ascii="Times New Roman" w:hAnsi="Times New Roman" w:cs="Times New Roman"/>
          <w:color w:val="222222"/>
          <w:sz w:val="24"/>
          <w:szCs w:val="24"/>
          <w:shd w:val="clear" w:color="auto" w:fill="FFFFFF"/>
        </w:rPr>
        <w:t>(Cappelli, 2023)</w:t>
      </w:r>
      <w:r w:rsidRPr="00B05877">
        <w:rPr>
          <w:rFonts w:ascii="Times New Roman" w:eastAsia="Times New Roman" w:hAnsi="Times New Roman" w:cs="Times New Roman"/>
          <w:sz w:val="24"/>
          <w:szCs w:val="24"/>
        </w:rPr>
        <w:t>. AI chatbots also develop first contact points with candidates, answer questions, schedule interviews, and make hiring easier. Additionally, video interviewing tools with AI-driven analytics are used to evaluate how people speak, behave, and facial expressions and to judge how a candidate differs from what is disclosed by a resume.</w:t>
      </w:r>
    </w:p>
    <w:p w:rsidR="00B05877" w:rsidRPr="00B05877" w:rsidP="00B05877" w14:paraId="6A15957D" w14:textId="77777777">
      <w:pPr>
        <w:pStyle w:val="NormalWeb"/>
        <w:spacing w:line="360" w:lineRule="auto"/>
      </w:pPr>
      <w:r w:rsidRPr="00B05877">
        <w:rPr>
          <w:rStyle w:val="Strong"/>
        </w:rPr>
        <w:t>Employee Training and Development</w:t>
      </w:r>
      <w:r w:rsidRPr="00B05877">
        <w:t xml:space="preserve"> </w:t>
      </w:r>
    </w:p>
    <w:p w:rsidR="00B05877" w:rsidRPr="00B05877" w:rsidP="00B05877" w14:paraId="5914C6BB" w14:textId="77777777">
      <w:p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The digital stage has considerably </w:t>
      </w:r>
      <w:r w:rsidRPr="00B05877">
        <w:rPr>
          <w:rFonts w:ascii="Times New Roman" w:eastAsia="Times New Roman" w:hAnsi="Times New Roman" w:cs="Times New Roman"/>
          <w:sz w:val="24"/>
          <w:szCs w:val="24"/>
        </w:rPr>
        <w:t>revolutionized</w:t>
      </w:r>
      <w:r w:rsidRPr="00B05877">
        <w:rPr>
          <w:rFonts w:ascii="Times New Roman" w:eastAsia="Times New Roman" w:hAnsi="Times New Roman" w:cs="Times New Roman"/>
          <w:sz w:val="24"/>
          <w:szCs w:val="24"/>
        </w:rPr>
        <w:t xml:space="preserve"> employee training and development. More and more </w:t>
      </w:r>
      <w:r w:rsidRPr="00B05877">
        <w:rPr>
          <w:rFonts w:ascii="Times New Roman" w:eastAsia="Times New Roman" w:hAnsi="Times New Roman" w:cs="Times New Roman"/>
          <w:sz w:val="24"/>
          <w:szCs w:val="24"/>
        </w:rPr>
        <w:t>organizations</w:t>
      </w:r>
      <w:r w:rsidRPr="00B05877">
        <w:rPr>
          <w:rFonts w:ascii="Times New Roman" w:eastAsia="Times New Roman" w:hAnsi="Times New Roman" w:cs="Times New Roman"/>
          <w:sz w:val="24"/>
          <w:szCs w:val="24"/>
        </w:rPr>
        <w:t xml:space="preserve"> are finding, developing, and using e-learning platforms, virtual reality (VR), and augmented reality (AR) to produce stimulating and dynamic learning environments </w:t>
      </w:r>
      <w:r w:rsidRPr="00B05877">
        <w:rPr>
          <w:rFonts w:ascii="Times New Roman" w:hAnsi="Times New Roman" w:cs="Times New Roman"/>
          <w:color w:val="222222"/>
          <w:sz w:val="24"/>
          <w:szCs w:val="24"/>
          <w:shd w:val="clear" w:color="auto" w:fill="FFFFFF"/>
        </w:rPr>
        <w:t>(</w:t>
      </w:r>
      <w:r w:rsidRPr="00B05877">
        <w:rPr>
          <w:rFonts w:ascii="Times New Roman" w:hAnsi="Times New Roman" w:cs="Times New Roman"/>
          <w:color w:val="222222"/>
          <w:sz w:val="24"/>
          <w:szCs w:val="24"/>
          <w:shd w:val="clear" w:color="auto" w:fill="FFFFFF"/>
        </w:rPr>
        <w:t>Baabdullah</w:t>
      </w:r>
      <w:r w:rsidRPr="00B05877">
        <w:rPr>
          <w:rFonts w:ascii="Times New Roman" w:hAnsi="Times New Roman" w:cs="Times New Roman"/>
          <w:color w:val="222222"/>
          <w:sz w:val="24"/>
          <w:szCs w:val="24"/>
          <w:shd w:val="clear" w:color="auto" w:fill="FFFFFF"/>
        </w:rPr>
        <w:t xml:space="preserve"> et al., 2022)</w:t>
      </w:r>
      <w:r w:rsidRPr="00B05877">
        <w:rPr>
          <w:rFonts w:ascii="Times New Roman" w:eastAsia="Times New Roman" w:hAnsi="Times New Roman" w:cs="Times New Roman"/>
          <w:sz w:val="24"/>
          <w:szCs w:val="24"/>
        </w:rPr>
        <w:t xml:space="preserve">. Learning management systems (LMS) are learning tools that help you track your employees' progress, </w:t>
      </w:r>
      <w:r w:rsidRPr="00B05877">
        <w:rPr>
          <w:rFonts w:ascii="Times New Roman" w:eastAsia="Times New Roman" w:hAnsi="Times New Roman" w:cs="Times New Roman"/>
          <w:sz w:val="24"/>
          <w:szCs w:val="24"/>
        </w:rPr>
        <w:t>personalize</w:t>
      </w:r>
      <w:r w:rsidRPr="00B05877">
        <w:rPr>
          <w:rFonts w:ascii="Times New Roman" w:eastAsia="Times New Roman" w:hAnsi="Times New Roman" w:cs="Times New Roman"/>
          <w:sz w:val="24"/>
          <w:szCs w:val="24"/>
        </w:rPr>
        <w:t xml:space="preserve">, module, and suggest courses depending on an </w:t>
      </w:r>
      <w:r w:rsidRPr="00B05877">
        <w:rPr>
          <w:rFonts w:ascii="Times New Roman" w:eastAsia="Times New Roman" w:hAnsi="Times New Roman" w:cs="Times New Roman"/>
          <w:sz w:val="24"/>
          <w:szCs w:val="24"/>
        </w:rPr>
        <w:t>individual's career path and skill gaps. In addition, AI-</w:t>
      </w:r>
      <w:r w:rsidRPr="00B05877">
        <w:rPr>
          <w:rFonts w:ascii="Times New Roman" w:eastAsia="Times New Roman" w:hAnsi="Times New Roman" w:cs="Times New Roman"/>
          <w:sz w:val="24"/>
          <w:szCs w:val="24"/>
        </w:rPr>
        <w:t>driveAI</w:t>
      </w:r>
      <w:r w:rsidRPr="00B05877">
        <w:rPr>
          <w:rFonts w:ascii="Times New Roman" w:eastAsia="Times New Roman" w:hAnsi="Times New Roman" w:cs="Times New Roman"/>
          <w:sz w:val="24"/>
          <w:szCs w:val="24"/>
        </w:rPr>
        <w:t xml:space="preserve">-driving tools provide real-time learning support for employees to upskill at their own pace. In a world where remote and hybrid work models are increasingly common, digital training solutions help maintain high competence levels and continuous learning of the teams distributed globally </w:t>
      </w:r>
      <w:r w:rsidRPr="00B05877">
        <w:rPr>
          <w:rFonts w:ascii="Times New Roman" w:hAnsi="Times New Roman" w:cs="Times New Roman"/>
          <w:color w:val="222222"/>
          <w:sz w:val="24"/>
          <w:szCs w:val="24"/>
          <w:shd w:val="clear" w:color="auto" w:fill="FFFFFF"/>
        </w:rPr>
        <w:t>(Suravi, 2024)</w:t>
      </w:r>
      <w:r w:rsidRPr="00B05877">
        <w:rPr>
          <w:rFonts w:ascii="Times New Roman" w:eastAsia="Times New Roman" w:hAnsi="Times New Roman" w:cs="Times New Roman"/>
          <w:sz w:val="24"/>
          <w:szCs w:val="24"/>
        </w:rPr>
        <w:t>.</w:t>
      </w:r>
    </w:p>
    <w:p w:rsidR="00B05877" w:rsidRPr="00B05877" w:rsidP="00B05877" w14:paraId="0D18EA79" w14:textId="77777777">
      <w:pPr>
        <w:pStyle w:val="NormalWeb"/>
        <w:spacing w:line="360" w:lineRule="auto"/>
      </w:pPr>
      <w:r w:rsidRPr="00B05877">
        <w:rPr>
          <w:rStyle w:val="Strong"/>
        </w:rPr>
        <w:t>Performance Management and Employee Engagement</w:t>
      </w:r>
      <w:r w:rsidRPr="00B05877">
        <w:t xml:space="preserve"> </w:t>
      </w:r>
    </w:p>
    <w:p w:rsidR="00B05877" w:rsidP="00B05877" w14:paraId="0FE7E513" w14:textId="77777777">
      <w:pPr>
        <w:spacing w:line="360" w:lineRule="auto"/>
        <w:jc w:val="both"/>
        <w:rPr>
          <w:rFonts w:ascii="Times New Roman" w:eastAsia="Times New Roman" w:hAnsi="Times New Roman" w:cs="Times New Roman"/>
          <w:sz w:val="24"/>
          <w:szCs w:val="24"/>
        </w:rPr>
      </w:pPr>
      <w:r w:rsidRPr="00B05877">
        <w:rPr>
          <w:rFonts w:ascii="Times New Roman" w:eastAsia="Times New Roman" w:hAnsi="Times New Roman" w:cs="Times New Roman"/>
          <w:sz w:val="24"/>
          <w:szCs w:val="24"/>
        </w:rPr>
        <w:t xml:space="preserve">Technology has also impacted performance management and made more data derived and objective. In the current era, annual performance reviews are replaced by more continuous AI-powered feedback–real-time analytics are used in these systems to track employee performance metrics, collate peer reviews, and provide actionable insights for managers and employees </w:t>
      </w:r>
      <w:r w:rsidRPr="00B05877">
        <w:rPr>
          <w:rFonts w:ascii="Times New Roman" w:hAnsi="Times New Roman" w:cs="Times New Roman"/>
          <w:color w:val="222222"/>
          <w:sz w:val="24"/>
          <w:szCs w:val="24"/>
          <w:shd w:val="clear" w:color="auto" w:fill="FFFFFF"/>
        </w:rPr>
        <w:t>(Rastogi et al., 2025)</w:t>
      </w:r>
      <w:r w:rsidRPr="00B05877">
        <w:rPr>
          <w:rFonts w:ascii="Times New Roman" w:eastAsia="Times New Roman" w:hAnsi="Times New Roman" w:cs="Times New Roman"/>
          <w:sz w:val="24"/>
          <w:szCs w:val="24"/>
        </w:rPr>
        <w:t xml:space="preserve">. Predictive analytics also helps businesses identify which employees are at risk of disengagement and/or turnover and engage with such employees before a problem,' gives rise to HR teams. Employee engagement platforms also use AI to scan sentiment from internal communication channels to gather helpful information for understanding the morale in the workplace and want areas to improve </w:t>
      </w:r>
      <w:r w:rsidRPr="00B05877">
        <w:rPr>
          <w:rFonts w:ascii="Times New Roman" w:hAnsi="Times New Roman" w:cs="Times New Roman"/>
          <w:color w:val="222222"/>
          <w:sz w:val="24"/>
          <w:szCs w:val="24"/>
          <w:shd w:val="clear" w:color="auto" w:fill="FFFFFF"/>
        </w:rPr>
        <w:t>(Preet and Chahal, 2025)</w:t>
      </w:r>
      <w:r w:rsidRPr="00B05877">
        <w:rPr>
          <w:rFonts w:ascii="Times New Roman" w:eastAsia="Times New Roman" w:hAnsi="Times New Roman" w:cs="Times New Roman"/>
          <w:sz w:val="24"/>
          <w:szCs w:val="24"/>
        </w:rPr>
        <w:t>.</w:t>
      </w:r>
    </w:p>
    <w:p w:rsidR="00487287" w:rsidRPr="00487287" w:rsidP="001D2D39" w14:paraId="55EF0E67" w14:textId="77777777">
      <w:pPr>
        <w:spacing w:line="360" w:lineRule="auto"/>
        <w:jc w:val="both"/>
        <w:rPr>
          <w:rFonts w:ascii="Times New Roman" w:hAnsi="Times New Roman" w:cs="Times New Roman"/>
          <w:b/>
          <w:bCs/>
          <w:sz w:val="24"/>
          <w:szCs w:val="24"/>
        </w:rPr>
      </w:pPr>
      <w:r w:rsidRPr="00487287">
        <w:rPr>
          <w:rFonts w:ascii="Times New Roman" w:hAnsi="Times New Roman" w:cs="Times New Roman"/>
          <w:b/>
          <w:bCs/>
          <w:sz w:val="24"/>
          <w:szCs w:val="24"/>
        </w:rPr>
        <w:t>The Transformative Potential of Generative AI in People Management</w:t>
      </w:r>
    </w:p>
    <w:p w:rsidR="00487287" w:rsidRPr="00487287" w:rsidP="006A1D82" w14:paraId="17B1B514" w14:textId="3D8F3250">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People management is experiencing an increasing revolution through Generative AI because this technology enhances automation efficiency and optimizes decision-making process</w:t>
      </w:r>
      <w:r w:rsidR="006A1D82">
        <w:rPr>
          <w:rFonts w:ascii="Times New Roman" w:hAnsi="Times New Roman" w:cs="Times New Roman"/>
          <w:sz w:val="24"/>
          <w:szCs w:val="24"/>
        </w:rPr>
        <w:t xml:space="preserve">es </w:t>
      </w:r>
      <w:r w:rsidRPr="006A1D82" w:rsidR="006A1D82">
        <w:rPr>
          <w:rFonts w:ascii="Times New Roman" w:hAnsi="Times New Roman" w:cs="Times New Roman"/>
          <w:sz w:val="24"/>
          <w:szCs w:val="24"/>
        </w:rPr>
        <w:t>(Corvello, 2025)</w:t>
      </w:r>
      <w:r w:rsidRPr="00487287">
        <w:rPr>
          <w:rFonts w:ascii="Times New Roman" w:hAnsi="Times New Roman" w:cs="Times New Roman"/>
          <w:sz w:val="24"/>
          <w:szCs w:val="24"/>
        </w:rPr>
        <w:t>. The system produces important content while analyzing vast data and provides personalized solutions to transform traditional HR duties as it creates a forward-looking human resources framework. Generative AI brings forth vital obstacles and advancements since it faces moral dilemmas while producing biased results and promotes an unhealthy dependency on computational systems.</w:t>
      </w:r>
    </w:p>
    <w:p w:rsidR="00487287" w:rsidRPr="00C70436" w:rsidP="001D2D39" w14:paraId="177C75FE" w14:textId="77777777">
      <w:pPr>
        <w:spacing w:line="360" w:lineRule="auto"/>
        <w:jc w:val="both"/>
        <w:rPr>
          <w:rFonts w:ascii="Times New Roman" w:hAnsi="Times New Roman" w:cs="Times New Roman"/>
          <w:b/>
          <w:bCs/>
          <w:sz w:val="24"/>
          <w:szCs w:val="24"/>
        </w:rPr>
      </w:pPr>
      <w:r w:rsidRPr="00C70436">
        <w:rPr>
          <w:rFonts w:ascii="Times New Roman" w:hAnsi="Times New Roman" w:cs="Times New Roman"/>
          <w:b/>
          <w:bCs/>
          <w:sz w:val="24"/>
          <w:szCs w:val="24"/>
        </w:rPr>
        <w:t>Opportunities Offered by Generative AI</w:t>
      </w:r>
    </w:p>
    <w:p w:rsidR="00487287" w:rsidRPr="00487287" w:rsidP="006A1D82" w14:paraId="25011BC6" w14:textId="62C7BA30">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Generative AI provides the most significant benefit through its automated functions, which produce policies and job descriptions. Analyzing current policies and roles becomes simpler for generative AI because it produces custom-designed drafts in short order with accuracy to enable HR professionals to handle strategic work</w:t>
      </w:r>
      <w:r w:rsidR="006A1D82">
        <w:rPr>
          <w:rFonts w:ascii="Times New Roman" w:hAnsi="Times New Roman" w:cs="Times New Roman"/>
          <w:sz w:val="24"/>
          <w:szCs w:val="24"/>
        </w:rPr>
        <w:t xml:space="preserve"> </w:t>
      </w:r>
      <w:r w:rsidRPr="006A1D82" w:rsidR="006A1D82">
        <w:rPr>
          <w:rFonts w:ascii="Times New Roman" w:hAnsi="Times New Roman" w:cs="Times New Roman"/>
          <w:sz w:val="24"/>
          <w:szCs w:val="24"/>
        </w:rPr>
        <w:t>(Pavlik, 2023)</w:t>
      </w:r>
      <w:r w:rsidRPr="00487287">
        <w:rPr>
          <w:rFonts w:ascii="Times New Roman" w:hAnsi="Times New Roman" w:cs="Times New Roman"/>
          <w:sz w:val="24"/>
          <w:szCs w:val="24"/>
        </w:rPr>
        <w:t xml:space="preserve">. The AI system ChatGPT produces </w:t>
      </w:r>
      <w:r w:rsidRPr="00487287">
        <w:rPr>
          <w:rFonts w:ascii="Times New Roman" w:hAnsi="Times New Roman" w:cs="Times New Roman"/>
          <w:sz w:val="24"/>
          <w:szCs w:val="24"/>
        </w:rPr>
        <w:t>extensive job descriptions based on organizational directions to guarantee consistency and goal alignment.</w:t>
      </w:r>
    </w:p>
    <w:p w:rsidR="00487287" w:rsidRPr="00487287" w:rsidP="006A1D82" w14:paraId="4D197BE2" w14:textId="01F04030">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Generating AI technology creates individualized career planning schemes through skill assessment, career trajectory checkpoints, and professional objectives of workers</w:t>
      </w:r>
      <w:r w:rsidR="006A1D82">
        <w:rPr>
          <w:rFonts w:ascii="Times New Roman" w:hAnsi="Times New Roman" w:cs="Times New Roman"/>
          <w:sz w:val="24"/>
          <w:szCs w:val="24"/>
        </w:rPr>
        <w:t xml:space="preserve"> </w:t>
      </w:r>
      <w:r w:rsidRPr="006A1D82" w:rsidR="006A1D82">
        <w:rPr>
          <w:rFonts w:ascii="Times New Roman" w:hAnsi="Times New Roman" w:cs="Times New Roman"/>
          <w:sz w:val="24"/>
          <w:szCs w:val="24"/>
        </w:rPr>
        <w:t>(El-Ghoul et al., 2024)</w:t>
      </w:r>
      <w:r w:rsidRPr="00487287">
        <w:rPr>
          <w:rFonts w:ascii="Times New Roman" w:hAnsi="Times New Roman" w:cs="Times New Roman"/>
          <w:sz w:val="24"/>
          <w:szCs w:val="24"/>
        </w:rPr>
        <w:t>. AI insights help HR teams match employee growth plans with targeted training career path recommendations and opportunity design for employee aspirations and organizational business needs.</w:t>
      </w:r>
    </w:p>
    <w:p w:rsidR="00487287" w:rsidP="006A1D82" w14:paraId="0218BE0C" w14:textId="79DFCC64">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The application of AI produces substantial improvements in employee commitment levels in organizational systems. Workers can now express concerns to professionals through automated systems that offer instant access to human resources information</w:t>
      </w:r>
      <w:r w:rsidR="006A1D82">
        <w:rPr>
          <w:rFonts w:ascii="Times New Roman" w:hAnsi="Times New Roman" w:cs="Times New Roman"/>
          <w:sz w:val="24"/>
          <w:szCs w:val="24"/>
        </w:rPr>
        <w:t xml:space="preserve"> </w:t>
      </w:r>
      <w:r w:rsidRPr="006A1D82" w:rsidR="006A1D82">
        <w:rPr>
          <w:rFonts w:ascii="Times New Roman" w:hAnsi="Times New Roman" w:cs="Times New Roman"/>
          <w:sz w:val="24"/>
          <w:szCs w:val="24"/>
        </w:rPr>
        <w:t>(Paudel, 2024)</w:t>
      </w:r>
      <w:r w:rsidRPr="00487287">
        <w:rPr>
          <w:rFonts w:ascii="Times New Roman" w:hAnsi="Times New Roman" w:cs="Times New Roman"/>
          <w:sz w:val="24"/>
          <w:szCs w:val="24"/>
        </w:rPr>
        <w:t>. This system makes strengthening employee communication, shorter response cycles, and improved staff happiness possible. AI systems using sentiment analysis technology detect organizational dissatisfaction early by identifying workplace trends, thus enabling organizations to address problems promptly.</w:t>
      </w:r>
    </w:p>
    <w:p w:rsidR="00487287" w:rsidRPr="00C70436" w:rsidP="001D2D39" w14:paraId="64966840" w14:textId="77777777">
      <w:pPr>
        <w:spacing w:line="360" w:lineRule="auto"/>
        <w:jc w:val="both"/>
        <w:rPr>
          <w:rFonts w:ascii="Times New Roman" w:hAnsi="Times New Roman" w:cs="Times New Roman"/>
          <w:b/>
          <w:bCs/>
          <w:sz w:val="24"/>
          <w:szCs w:val="24"/>
        </w:rPr>
      </w:pPr>
      <w:r w:rsidRPr="00C70436">
        <w:rPr>
          <w:rFonts w:ascii="Times New Roman" w:hAnsi="Times New Roman" w:cs="Times New Roman"/>
          <w:b/>
          <w:bCs/>
          <w:sz w:val="24"/>
          <w:szCs w:val="24"/>
        </w:rPr>
        <w:t>Challenges and Risks</w:t>
      </w:r>
    </w:p>
    <w:p w:rsidR="00487287" w:rsidRPr="00487287" w:rsidP="006A1D82" w14:paraId="66DF565E" w14:textId="46086EE4">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Despite its potential, generative AI poses significant risks. A major problem exists when AI algorithms display biased behaviour. Data used for AI system training from biased environments will amplify existing biases through the systems' output. AI job descriptions might inadvertently favour specific demographic groups when generating the content, which leads organizations to adopt discriminatory hiring procedures</w:t>
      </w:r>
      <w:r w:rsidR="006A1D82">
        <w:rPr>
          <w:rFonts w:ascii="Times New Roman" w:hAnsi="Times New Roman" w:cs="Times New Roman"/>
          <w:sz w:val="24"/>
          <w:szCs w:val="24"/>
        </w:rPr>
        <w:t xml:space="preserve"> </w:t>
      </w:r>
      <w:r w:rsidRPr="006A1D82" w:rsidR="006A1D82">
        <w:rPr>
          <w:rFonts w:ascii="Times New Roman" w:hAnsi="Times New Roman" w:cs="Times New Roman"/>
          <w:sz w:val="24"/>
          <w:szCs w:val="24"/>
        </w:rPr>
        <w:t>(Chen, 2023)</w:t>
      </w:r>
      <w:r w:rsidRPr="00487287">
        <w:rPr>
          <w:rFonts w:ascii="Times New Roman" w:hAnsi="Times New Roman" w:cs="Times New Roman"/>
          <w:sz w:val="24"/>
          <w:szCs w:val="24"/>
        </w:rPr>
        <w:t>.</w:t>
      </w:r>
    </w:p>
    <w:p w:rsidR="00487287" w:rsidRPr="00487287" w:rsidP="00161EA3" w14:paraId="46790722" w14:textId="4F047236">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Technical dependence constitutes a major worry in these systems. Generative AI technology benefits from human supervision because human reviewers ensure performance quality, maintain appropriate standards, and represent genuine meaning and equitable outcomes</w:t>
      </w:r>
      <w:r w:rsidR="00161EA3">
        <w:rPr>
          <w:rFonts w:ascii="Times New Roman" w:hAnsi="Times New Roman" w:cs="Times New Roman"/>
          <w:sz w:val="24"/>
          <w:szCs w:val="24"/>
        </w:rPr>
        <w:t xml:space="preserve"> </w:t>
      </w:r>
      <w:r w:rsidRPr="00161EA3" w:rsidR="00161EA3">
        <w:rPr>
          <w:rFonts w:ascii="Times New Roman" w:hAnsi="Times New Roman" w:cs="Times New Roman"/>
          <w:sz w:val="24"/>
          <w:szCs w:val="24"/>
        </w:rPr>
        <w:t>(Dwivedi et al., 2023)</w:t>
      </w:r>
      <w:r w:rsidRPr="00487287">
        <w:rPr>
          <w:rFonts w:ascii="Times New Roman" w:hAnsi="Times New Roman" w:cs="Times New Roman"/>
          <w:sz w:val="24"/>
          <w:szCs w:val="24"/>
        </w:rPr>
        <w:t>. Companies should avoid making critical decisions through AI alone because this practice fails to consider important human elements, resulting in workforce doubt and a lack of employee engagement.</w:t>
      </w:r>
    </w:p>
    <w:p w:rsidR="00487287" w:rsidRPr="00487287" w:rsidP="00161EA3" w14:paraId="01A85EA2" w14:textId="6278B787">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Using generative AI brings forth data protection issues and privacy violations for staff members. Generative AI systems require access to substantial volumes of personal information because they depend on it to deliver bespoke solutions</w:t>
      </w:r>
      <w:r w:rsidR="00161EA3">
        <w:rPr>
          <w:rFonts w:ascii="Times New Roman" w:hAnsi="Times New Roman" w:cs="Times New Roman"/>
          <w:sz w:val="24"/>
          <w:szCs w:val="24"/>
        </w:rPr>
        <w:t xml:space="preserve"> </w:t>
      </w:r>
      <w:r w:rsidRPr="00161EA3" w:rsidR="00161EA3">
        <w:rPr>
          <w:rFonts w:ascii="Times New Roman" w:hAnsi="Times New Roman" w:cs="Times New Roman"/>
          <w:sz w:val="24"/>
          <w:szCs w:val="24"/>
        </w:rPr>
        <w:t>(Haleem et al., 2022)</w:t>
      </w:r>
      <w:r w:rsidRPr="00487287">
        <w:rPr>
          <w:rFonts w:ascii="Times New Roman" w:hAnsi="Times New Roman" w:cs="Times New Roman"/>
          <w:sz w:val="24"/>
          <w:szCs w:val="24"/>
        </w:rPr>
        <w:t xml:space="preserve">. </w:t>
      </w:r>
      <w:r w:rsidRPr="00487287">
        <w:rPr>
          <w:rFonts w:ascii="Times New Roman" w:hAnsi="Times New Roman" w:cs="Times New Roman"/>
          <w:sz w:val="24"/>
          <w:szCs w:val="24"/>
        </w:rPr>
        <w:t xml:space="preserve">When data protection measures </w:t>
      </w:r>
      <w:r w:rsidRPr="00487287">
        <w:rPr>
          <w:rFonts w:ascii="Times New Roman" w:hAnsi="Times New Roman" w:cs="Times New Roman"/>
          <w:sz w:val="24"/>
          <w:szCs w:val="24"/>
        </w:rPr>
        <w:t>remain,</w:t>
      </w:r>
      <w:r w:rsidRPr="00487287">
        <w:rPr>
          <w:rFonts w:ascii="Times New Roman" w:hAnsi="Times New Roman" w:cs="Times New Roman"/>
          <w:sz w:val="24"/>
          <w:szCs w:val="24"/>
        </w:rPr>
        <w:t xml:space="preserve"> weak organizations face the possibility of dangerous unauthorized access to private information.</w:t>
      </w:r>
    </w:p>
    <w:p w:rsidR="00487287" w:rsidRPr="00C70436" w:rsidP="001D2D39" w14:paraId="334323A0" w14:textId="77777777">
      <w:pPr>
        <w:spacing w:line="360" w:lineRule="auto"/>
        <w:jc w:val="both"/>
        <w:rPr>
          <w:rFonts w:ascii="Times New Roman" w:hAnsi="Times New Roman" w:cs="Times New Roman"/>
          <w:b/>
          <w:bCs/>
          <w:sz w:val="24"/>
          <w:szCs w:val="24"/>
        </w:rPr>
      </w:pPr>
      <w:r w:rsidRPr="00C70436">
        <w:rPr>
          <w:rFonts w:ascii="Times New Roman" w:hAnsi="Times New Roman" w:cs="Times New Roman"/>
          <w:b/>
          <w:bCs/>
          <w:sz w:val="24"/>
          <w:szCs w:val="24"/>
        </w:rPr>
        <w:t>Balancing Opportunities and Risks</w:t>
      </w:r>
    </w:p>
    <w:p w:rsidR="00487287" w:rsidRPr="00487287" w:rsidP="001D2D39" w14:paraId="5B2D3184" w14:textId="73B7FF72">
      <w:pPr>
        <w:spacing w:line="360" w:lineRule="auto"/>
        <w:jc w:val="both"/>
        <w:rPr>
          <w:rFonts w:ascii="Times New Roman" w:hAnsi="Times New Roman" w:cs="Times New Roman"/>
          <w:sz w:val="24"/>
          <w:szCs w:val="24"/>
        </w:rPr>
      </w:pPr>
      <w:r w:rsidRPr="00487287">
        <w:rPr>
          <w:rFonts w:ascii="Times New Roman" w:hAnsi="Times New Roman" w:cs="Times New Roman"/>
          <w:sz w:val="24"/>
          <w:szCs w:val="24"/>
        </w:rPr>
        <w:t>Organizations need to build ethical and strategic safeguards to achieve full benefits from generative AI applications in their people management activities. Organizations need clear guidelines about AI deployment combined with systematic audits to find biases and strong standards to reveal AI-based choices to customers. HR experts need proper Education about implementing AI systems with human personnel at the forefront of practice.</w:t>
      </w:r>
    </w:p>
    <w:p w:rsidR="00C70436" w:rsidP="00161EA3" w14:paraId="6FD1824F" w14:textId="476DC7A5">
      <w:pPr>
        <w:spacing w:line="360" w:lineRule="auto"/>
        <w:jc w:val="both"/>
        <w:rPr>
          <w:rFonts w:ascii="Times New Roman" w:hAnsi="Times New Roman" w:cs="Times New Roman"/>
          <w:sz w:val="24"/>
          <w:szCs w:val="24"/>
        </w:rPr>
      </w:pPr>
      <w:r>
        <w:rPr>
          <w:rFonts w:ascii="Times New Roman" w:hAnsi="Times New Roman" w:cs="Times New Roman"/>
          <w:sz w:val="24"/>
          <w:szCs w:val="24"/>
        </w:rPr>
        <w:t>G</w:t>
      </w:r>
      <w:r w:rsidRPr="00487287">
        <w:rPr>
          <w:rFonts w:ascii="Times New Roman" w:hAnsi="Times New Roman" w:cs="Times New Roman"/>
          <w:sz w:val="24"/>
          <w:szCs w:val="24"/>
        </w:rPr>
        <w:t>enerative AI enhances human judgment instead of serving as an alternative for making human decisions. Organizations achieve optimal AI benefits through the right combination of automated systems and human monitoring to build streamlined operations and foster innovative development along with workplace inclusion</w:t>
      </w:r>
      <w:r w:rsidR="00161EA3">
        <w:rPr>
          <w:rFonts w:ascii="Times New Roman" w:hAnsi="Times New Roman" w:cs="Times New Roman"/>
          <w:sz w:val="24"/>
          <w:szCs w:val="24"/>
        </w:rPr>
        <w:t xml:space="preserve"> </w:t>
      </w:r>
      <w:r w:rsidRPr="00161EA3" w:rsidR="00161EA3">
        <w:rPr>
          <w:rFonts w:ascii="Times New Roman" w:hAnsi="Times New Roman" w:cs="Times New Roman"/>
          <w:sz w:val="24"/>
          <w:szCs w:val="24"/>
        </w:rPr>
        <w:t xml:space="preserve">(Khan, </w:t>
      </w:r>
      <w:r w:rsidRPr="00161EA3" w:rsidR="00161EA3">
        <w:rPr>
          <w:rFonts w:ascii="Times New Roman" w:hAnsi="Times New Roman" w:cs="Times New Roman"/>
          <w:sz w:val="24"/>
          <w:szCs w:val="24"/>
        </w:rPr>
        <w:t>Parahyanti</w:t>
      </w:r>
      <w:r w:rsidRPr="00161EA3" w:rsidR="00161EA3">
        <w:rPr>
          <w:rFonts w:ascii="Times New Roman" w:hAnsi="Times New Roman" w:cs="Times New Roman"/>
          <w:sz w:val="24"/>
          <w:szCs w:val="24"/>
        </w:rPr>
        <w:t xml:space="preserve"> and Hussain, 2024)</w:t>
      </w:r>
      <w:r w:rsidRPr="00487287">
        <w:rPr>
          <w:rFonts w:ascii="Times New Roman" w:hAnsi="Times New Roman" w:cs="Times New Roman"/>
          <w:sz w:val="24"/>
          <w:szCs w:val="24"/>
        </w:rPr>
        <w:t>. Implementing this transition requires careful consideration to guarantee that technological developments uphold ethical guidelines that value employee health.</w:t>
      </w:r>
    </w:p>
    <w:p w:rsidR="00487287" w:rsidRPr="00487287" w:rsidP="001D2D39" w14:paraId="683DB9CD" w14:textId="26A595FA">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487287" w:rsidRPr="00C70436" w:rsidP="001D2D39" w14:paraId="304FB27E" w14:textId="115D8970">
      <w:pPr>
        <w:spacing w:line="360" w:lineRule="auto"/>
        <w:jc w:val="center"/>
        <w:rPr>
          <w:rFonts w:ascii="Times New Roman" w:hAnsi="Times New Roman" w:cs="Times New Roman"/>
          <w:b/>
          <w:bCs/>
          <w:sz w:val="24"/>
          <w:szCs w:val="24"/>
        </w:rPr>
      </w:pPr>
      <w:r w:rsidRPr="00C70436">
        <w:rPr>
          <w:rFonts w:ascii="Times New Roman" w:hAnsi="Times New Roman" w:cs="Times New Roman"/>
          <w:b/>
          <w:bCs/>
          <w:sz w:val="24"/>
          <w:szCs w:val="24"/>
        </w:rPr>
        <w:t>Question 14 (AC 4.2)</w:t>
      </w:r>
    </w:p>
    <w:p w:rsidR="00C70436" w:rsidRPr="00C70436" w:rsidP="001D2D39" w14:paraId="0542F7C3" w14:textId="77777777">
      <w:pPr>
        <w:spacing w:line="360" w:lineRule="auto"/>
        <w:jc w:val="both"/>
        <w:rPr>
          <w:rFonts w:ascii="Times New Roman" w:hAnsi="Times New Roman" w:cs="Times New Roman"/>
          <w:b/>
          <w:bCs/>
          <w:sz w:val="24"/>
          <w:szCs w:val="24"/>
        </w:rPr>
      </w:pPr>
      <w:r w:rsidRPr="00C70436">
        <w:rPr>
          <w:rFonts w:ascii="Times New Roman" w:hAnsi="Times New Roman" w:cs="Times New Roman"/>
          <w:b/>
          <w:bCs/>
          <w:sz w:val="24"/>
          <w:szCs w:val="24"/>
        </w:rPr>
        <w:t>Training Session for a Private Sector Manager: Key Differences in Public and Private Sector People Management</w:t>
      </w:r>
    </w:p>
    <w:p w:rsidR="00C70436" w:rsidRPr="00C70436" w:rsidP="00DA46A0" w14:paraId="49DB132D" w14:textId="589824B7">
      <w:pPr>
        <w:spacing w:line="360" w:lineRule="auto"/>
        <w:jc w:val="both"/>
        <w:rPr>
          <w:rFonts w:ascii="Times New Roman" w:hAnsi="Times New Roman" w:cs="Times New Roman"/>
          <w:sz w:val="24"/>
          <w:szCs w:val="24"/>
        </w:rPr>
      </w:pPr>
      <w:r w:rsidRPr="00C70436">
        <w:rPr>
          <w:rFonts w:ascii="Times New Roman" w:hAnsi="Times New Roman" w:cs="Times New Roman"/>
          <w:sz w:val="24"/>
          <w:szCs w:val="24"/>
        </w:rPr>
        <w:t>Stepping into public-sector employment demands knowledge of core differences between private-sector people management systems and public-sector objectives and workplace values. Most skills originating from private sector work transfer successfully, yet adopting public sector governance and priorities requires flexibility</w:t>
      </w:r>
      <w:r w:rsidR="00DA46A0">
        <w:rPr>
          <w:rFonts w:ascii="Times New Roman" w:hAnsi="Times New Roman" w:cs="Times New Roman"/>
          <w:sz w:val="24"/>
          <w:szCs w:val="24"/>
        </w:rPr>
        <w:t xml:space="preserve"> </w:t>
      </w:r>
      <w:r w:rsidRPr="00DA46A0" w:rsidR="00DA46A0">
        <w:rPr>
          <w:rFonts w:ascii="Times New Roman" w:hAnsi="Times New Roman" w:cs="Times New Roman"/>
          <w:sz w:val="24"/>
          <w:szCs w:val="24"/>
        </w:rPr>
        <w:t>(Jurisch et al., 2013)</w:t>
      </w:r>
      <w:r w:rsidRPr="00C70436">
        <w:rPr>
          <w:rFonts w:ascii="Times New Roman" w:hAnsi="Times New Roman" w:cs="Times New Roman"/>
          <w:sz w:val="24"/>
          <w:szCs w:val="24"/>
        </w:rPr>
        <w:t>. This section details important distinctions between private sector entities and public sector organizations regarding their organizational goals, recruitment practices, performance management systems, and cultural approaches towards staff relations. The presentation includes necessary recommendations to adapt successfully.</w:t>
      </w:r>
    </w:p>
    <w:p w:rsidR="00C70436" w:rsidRPr="00C70436" w:rsidP="001D2D39" w14:paraId="60FE7CB1" w14:textId="77777777">
      <w:pPr>
        <w:spacing w:line="360" w:lineRule="auto"/>
        <w:jc w:val="both"/>
        <w:rPr>
          <w:rFonts w:ascii="Times New Roman" w:hAnsi="Times New Roman" w:cs="Times New Roman"/>
          <w:b/>
          <w:bCs/>
          <w:sz w:val="24"/>
          <w:szCs w:val="24"/>
        </w:rPr>
      </w:pPr>
      <w:r w:rsidRPr="00C70436">
        <w:rPr>
          <w:rFonts w:ascii="Times New Roman" w:hAnsi="Times New Roman" w:cs="Times New Roman"/>
          <w:b/>
          <w:bCs/>
          <w:sz w:val="24"/>
          <w:szCs w:val="24"/>
        </w:rPr>
        <w:t>Key Differences Between Public and Private Sector People Management</w:t>
      </w:r>
    </w:p>
    <w:p w:rsidR="00C70436" w:rsidRPr="001E2938" w:rsidP="001D2D39" w14:paraId="43ADE4DF" w14:textId="52146FFD">
      <w:pPr>
        <w:pStyle w:val="ListParagraph"/>
        <w:numPr>
          <w:ilvl w:val="0"/>
          <w:numId w:val="5"/>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Organizational Objectives</w:t>
      </w:r>
    </w:p>
    <w:p w:rsidR="00C70436" w:rsidRPr="00C70436" w:rsidP="001D2D39" w14:paraId="7C239B84" w14:textId="535E010E">
      <w:pPr>
        <w:spacing w:line="360" w:lineRule="auto"/>
        <w:jc w:val="both"/>
        <w:rPr>
          <w:rFonts w:ascii="Times New Roman" w:hAnsi="Times New Roman" w:cs="Times New Roman"/>
          <w:sz w:val="24"/>
          <w:szCs w:val="24"/>
        </w:rPr>
      </w:pPr>
      <w:r w:rsidRPr="00C70436">
        <w:rPr>
          <w:rFonts w:ascii="Times New Roman" w:hAnsi="Times New Roman" w:cs="Times New Roman"/>
          <w:sz w:val="24"/>
          <w:szCs w:val="24"/>
        </w:rPr>
        <w:t>The basic organizational goals represent the prime distinction between the public and private sectors.</w:t>
      </w:r>
    </w:p>
    <w:p w:rsidR="00C70436" w:rsidRPr="001E2938" w:rsidP="001D2D39" w14:paraId="7D12149B"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Public Sector:</w:t>
      </w:r>
    </w:p>
    <w:p w:rsidR="00C70436" w:rsidRPr="00C70436" w:rsidP="00DA46A0" w14:paraId="4F5CBF07" w14:textId="1FDEC812">
      <w:pPr>
        <w:spacing w:line="360" w:lineRule="auto"/>
        <w:jc w:val="both"/>
        <w:rPr>
          <w:rFonts w:ascii="Times New Roman" w:hAnsi="Times New Roman" w:cs="Times New Roman"/>
          <w:sz w:val="24"/>
          <w:szCs w:val="24"/>
        </w:rPr>
      </w:pPr>
      <w:r w:rsidRPr="00C70436">
        <w:rPr>
          <w:rFonts w:ascii="Times New Roman" w:hAnsi="Times New Roman" w:cs="Times New Roman"/>
          <w:sz w:val="24"/>
          <w:szCs w:val="24"/>
        </w:rPr>
        <w:t>As a primary responsibility, the public sector delivers services that fulfil social needs while advancing public welfare. Public sector success relies primarily on delivering positive outcomes for the community using an equitable and transparent system that answers to citizen stakeholders beyond commercial goals</w:t>
      </w:r>
      <w:r w:rsidR="00DA46A0">
        <w:rPr>
          <w:rFonts w:ascii="Times New Roman" w:hAnsi="Times New Roman" w:cs="Times New Roman"/>
          <w:sz w:val="24"/>
          <w:szCs w:val="24"/>
        </w:rPr>
        <w:t xml:space="preserve"> </w:t>
      </w:r>
      <w:r w:rsidRPr="00DA46A0" w:rsidR="00DA46A0">
        <w:rPr>
          <w:rFonts w:ascii="Times New Roman" w:hAnsi="Times New Roman" w:cs="Times New Roman"/>
          <w:sz w:val="24"/>
          <w:szCs w:val="24"/>
        </w:rPr>
        <w:t>(Volden and Welde, 2022)</w:t>
      </w:r>
      <w:r w:rsidRPr="00C70436">
        <w:rPr>
          <w:rFonts w:ascii="Times New Roman" w:hAnsi="Times New Roman" w:cs="Times New Roman"/>
          <w:sz w:val="24"/>
          <w:szCs w:val="24"/>
        </w:rPr>
        <w:t>. Resources available to public sector entities force organizations to select their priorities and seek approval from taxpayers and government agencies.</w:t>
      </w:r>
    </w:p>
    <w:p w:rsidR="00C70436" w:rsidRPr="001E2938" w:rsidP="001D2D39" w14:paraId="34194569"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Private Sector:</w:t>
      </w:r>
    </w:p>
    <w:p w:rsidR="00C70436" w:rsidRPr="00C70436" w:rsidP="00DA46A0" w14:paraId="3E66989D" w14:textId="687FE444">
      <w:pPr>
        <w:spacing w:line="360" w:lineRule="auto"/>
        <w:jc w:val="both"/>
        <w:rPr>
          <w:rFonts w:ascii="Times New Roman" w:hAnsi="Times New Roman" w:cs="Times New Roman"/>
          <w:sz w:val="24"/>
          <w:szCs w:val="24"/>
        </w:rPr>
      </w:pPr>
      <w:r w:rsidRPr="00C70436">
        <w:rPr>
          <w:rFonts w:ascii="Times New Roman" w:hAnsi="Times New Roman" w:cs="Times New Roman"/>
          <w:sz w:val="24"/>
          <w:szCs w:val="24"/>
        </w:rPr>
        <w:t>The private sector bases its operations on profitability goals alongside market competition and pursuing shareholder value</w:t>
      </w:r>
      <w:r w:rsidR="00DA46A0">
        <w:rPr>
          <w:rFonts w:ascii="Times New Roman" w:hAnsi="Times New Roman" w:cs="Times New Roman"/>
          <w:sz w:val="24"/>
          <w:szCs w:val="24"/>
        </w:rPr>
        <w:t xml:space="preserve"> </w:t>
      </w:r>
      <w:r w:rsidRPr="00DA46A0" w:rsidR="00DA46A0">
        <w:rPr>
          <w:rFonts w:ascii="Times New Roman" w:hAnsi="Times New Roman" w:cs="Times New Roman"/>
          <w:sz w:val="24"/>
          <w:szCs w:val="24"/>
        </w:rPr>
        <w:t>(Callender, 2001)</w:t>
      </w:r>
      <w:r w:rsidRPr="00C70436">
        <w:rPr>
          <w:rFonts w:ascii="Times New Roman" w:hAnsi="Times New Roman" w:cs="Times New Roman"/>
          <w:sz w:val="24"/>
          <w:szCs w:val="24"/>
        </w:rPr>
        <w:t>. Organizations base their decisions on three key metrics: revenue expansion, ROI, and customer contentment levels. Profit orientation in private sector companies allows them to make flexible decisions about resource management.</w:t>
      </w:r>
    </w:p>
    <w:p w:rsidR="00C70436" w:rsidRPr="001E2938" w:rsidP="001D2D39" w14:paraId="701902B0" w14:textId="578DF039">
      <w:pPr>
        <w:pStyle w:val="ListParagraph"/>
        <w:numPr>
          <w:ilvl w:val="0"/>
          <w:numId w:val="5"/>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Recruitment Practices</w:t>
      </w:r>
    </w:p>
    <w:p w:rsidR="00C70436" w:rsidRPr="00C70436" w:rsidP="001D2D39" w14:paraId="4822B1B3" w14:textId="22081EFE">
      <w:pPr>
        <w:spacing w:line="360" w:lineRule="auto"/>
        <w:jc w:val="both"/>
        <w:rPr>
          <w:rFonts w:ascii="Times New Roman" w:hAnsi="Times New Roman" w:cs="Times New Roman"/>
          <w:sz w:val="24"/>
          <w:szCs w:val="24"/>
        </w:rPr>
      </w:pPr>
      <w:r w:rsidRPr="00C70436">
        <w:rPr>
          <w:rFonts w:ascii="Times New Roman" w:hAnsi="Times New Roman" w:cs="Times New Roman"/>
          <w:sz w:val="24"/>
          <w:szCs w:val="24"/>
        </w:rPr>
        <w:t>Public sector recruitment methods differ from private sector recruitment because of governmental framework requirements and organizational targets.</w:t>
      </w:r>
    </w:p>
    <w:p w:rsidR="00C70436" w:rsidRPr="001E2938" w:rsidP="001D2D39" w14:paraId="76080554"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Public Sector Recruitment:</w:t>
      </w:r>
    </w:p>
    <w:p w:rsidR="00C70436" w:rsidRPr="00C70436" w:rsidP="00DA46A0" w14:paraId="2CC15789" w14:textId="76687F55">
      <w:pPr>
        <w:spacing w:line="360" w:lineRule="auto"/>
        <w:jc w:val="both"/>
        <w:rPr>
          <w:rFonts w:ascii="Times New Roman" w:hAnsi="Times New Roman" w:cs="Times New Roman"/>
          <w:sz w:val="24"/>
          <w:szCs w:val="24"/>
        </w:rPr>
      </w:pPr>
      <w:r w:rsidRPr="00C70436">
        <w:rPr>
          <w:rFonts w:ascii="Times New Roman" w:hAnsi="Times New Roman" w:cs="Times New Roman"/>
          <w:sz w:val="24"/>
          <w:szCs w:val="24"/>
        </w:rPr>
        <w:t>Public sector organizations follow strict rules and established recruitment procedures to maintain transparent, diverse, and unbiased employment practices. The application process, along with standardized testing and equal opportunity policy compliance, usually takes a lengthy period during this stage</w:t>
      </w:r>
      <w:r w:rsidR="00DA46A0">
        <w:rPr>
          <w:rFonts w:ascii="Times New Roman" w:hAnsi="Times New Roman" w:cs="Times New Roman"/>
          <w:sz w:val="24"/>
          <w:szCs w:val="24"/>
        </w:rPr>
        <w:t xml:space="preserve"> </w:t>
      </w:r>
      <w:r w:rsidRPr="00DA46A0" w:rsidR="00DA46A0">
        <w:rPr>
          <w:rFonts w:ascii="Times New Roman" w:hAnsi="Times New Roman" w:cs="Times New Roman"/>
          <w:sz w:val="24"/>
          <w:szCs w:val="24"/>
        </w:rPr>
        <w:t>(Ogbe, 2022)</w:t>
      </w:r>
      <w:r w:rsidRPr="00C70436">
        <w:rPr>
          <w:rFonts w:ascii="Times New Roman" w:hAnsi="Times New Roman" w:cs="Times New Roman"/>
          <w:sz w:val="24"/>
          <w:szCs w:val="24"/>
        </w:rPr>
        <w:t>. The process prioritizes both stakeholder accountability and the accomplishment of representation quotas.</w:t>
      </w:r>
    </w:p>
    <w:p w:rsidR="00FD2ED8" w:rsidRPr="001E2938" w:rsidP="001D2D39" w14:paraId="7FC1322B"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Private Sector Recruitment:</w:t>
      </w:r>
    </w:p>
    <w:p w:rsidR="00FD2ED8" w:rsidRPr="00FD2ED8" w:rsidP="00DA46A0" w14:paraId="14ADB325" w14:textId="71BCBFCB">
      <w:pPr>
        <w:spacing w:line="360" w:lineRule="auto"/>
        <w:jc w:val="both"/>
        <w:rPr>
          <w:rFonts w:ascii="Times New Roman" w:hAnsi="Times New Roman" w:cs="Times New Roman"/>
          <w:sz w:val="24"/>
          <w:szCs w:val="24"/>
        </w:rPr>
      </w:pPr>
      <w:r w:rsidRPr="00FD2ED8">
        <w:rPr>
          <w:rFonts w:ascii="Times New Roman" w:hAnsi="Times New Roman" w:cs="Times New Roman"/>
          <w:sz w:val="24"/>
          <w:szCs w:val="24"/>
        </w:rPr>
        <w:t>Recruitment in the private sector functions with greater flexibility by focusing on performance-based evaluation and employing personnel centres around their relevant competencies, cultural alignment, and capability to achieve organizational aims</w:t>
      </w:r>
      <w:r w:rsidR="00DA46A0">
        <w:rPr>
          <w:rFonts w:ascii="Times New Roman" w:hAnsi="Times New Roman" w:cs="Times New Roman"/>
          <w:sz w:val="24"/>
          <w:szCs w:val="24"/>
        </w:rPr>
        <w:t xml:space="preserve"> </w:t>
      </w:r>
      <w:r w:rsidRPr="00DA46A0" w:rsidR="00DA46A0">
        <w:rPr>
          <w:rFonts w:ascii="Times New Roman" w:hAnsi="Times New Roman" w:cs="Times New Roman"/>
          <w:sz w:val="24"/>
          <w:szCs w:val="24"/>
        </w:rPr>
        <w:t>(Ali et al., 2023)</w:t>
      </w:r>
      <w:r w:rsidRPr="00FD2ED8">
        <w:rPr>
          <w:rFonts w:ascii="Times New Roman" w:hAnsi="Times New Roman" w:cs="Times New Roman"/>
          <w:sz w:val="24"/>
          <w:szCs w:val="24"/>
        </w:rPr>
        <w:t>. The streamlined processes help organizations complete their role-filling operations rapidly while maintaining their competitive advantage.</w:t>
      </w:r>
    </w:p>
    <w:p w:rsidR="00FD2ED8" w:rsidRPr="001E2938" w:rsidP="001D2D39" w14:paraId="66BE5460" w14:textId="7BA740A6">
      <w:pPr>
        <w:pStyle w:val="ListParagraph"/>
        <w:numPr>
          <w:ilvl w:val="0"/>
          <w:numId w:val="5"/>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Performance Management</w:t>
      </w:r>
    </w:p>
    <w:p w:rsidR="00FD2ED8" w:rsidRPr="00FD2ED8" w:rsidP="001D2D39" w14:paraId="5F42C648" w14:textId="6853E96C">
      <w:pPr>
        <w:spacing w:line="360" w:lineRule="auto"/>
        <w:jc w:val="both"/>
        <w:rPr>
          <w:rFonts w:ascii="Times New Roman" w:hAnsi="Times New Roman" w:cs="Times New Roman"/>
          <w:sz w:val="24"/>
          <w:szCs w:val="24"/>
        </w:rPr>
      </w:pPr>
      <w:r w:rsidRPr="00FD2ED8">
        <w:rPr>
          <w:rFonts w:ascii="Times New Roman" w:hAnsi="Times New Roman" w:cs="Times New Roman"/>
          <w:sz w:val="24"/>
          <w:szCs w:val="24"/>
        </w:rPr>
        <w:t>The approaches to implementing performance management systems exist in completely different ways between these two sectors.</w:t>
      </w:r>
    </w:p>
    <w:p w:rsidR="00FD2ED8" w:rsidRPr="001E2938" w:rsidP="001D2D39" w14:paraId="1FBDA854"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Public Sector:</w:t>
      </w:r>
    </w:p>
    <w:p w:rsidR="00FD2ED8" w:rsidRPr="00FD2ED8" w:rsidP="00A951B3" w14:paraId="7CADB481" w14:textId="5BBDE3FB">
      <w:pPr>
        <w:spacing w:line="360" w:lineRule="auto"/>
        <w:jc w:val="both"/>
        <w:rPr>
          <w:rFonts w:ascii="Times New Roman" w:hAnsi="Times New Roman" w:cs="Times New Roman"/>
          <w:sz w:val="24"/>
          <w:szCs w:val="24"/>
        </w:rPr>
      </w:pPr>
      <w:r w:rsidRPr="00FD2ED8">
        <w:rPr>
          <w:rFonts w:ascii="Times New Roman" w:hAnsi="Times New Roman" w:cs="Times New Roman"/>
          <w:sz w:val="24"/>
          <w:szCs w:val="24"/>
        </w:rPr>
        <w:t>The public sector organizes its performance evaluation system by prioritizing fair treatment and transparent assessment with full accountability throughout</w:t>
      </w:r>
      <w:r w:rsidR="00A951B3">
        <w:rPr>
          <w:rFonts w:ascii="Times New Roman" w:hAnsi="Times New Roman" w:cs="Times New Roman"/>
          <w:sz w:val="24"/>
          <w:szCs w:val="24"/>
        </w:rPr>
        <w:t xml:space="preserve"> </w:t>
      </w:r>
      <w:r w:rsidRPr="00A951B3" w:rsidR="00A951B3">
        <w:rPr>
          <w:rFonts w:ascii="Times New Roman" w:hAnsi="Times New Roman" w:cs="Times New Roman"/>
          <w:sz w:val="24"/>
          <w:szCs w:val="24"/>
        </w:rPr>
        <w:t>(Mackay, 1998)</w:t>
      </w:r>
      <w:r w:rsidRPr="00FD2ED8">
        <w:rPr>
          <w:rFonts w:ascii="Times New Roman" w:hAnsi="Times New Roman" w:cs="Times New Roman"/>
          <w:sz w:val="24"/>
          <w:szCs w:val="24"/>
        </w:rPr>
        <w:t xml:space="preserve">. </w:t>
      </w:r>
      <w:r w:rsidRPr="00FD2ED8">
        <w:rPr>
          <w:rFonts w:ascii="Times New Roman" w:hAnsi="Times New Roman" w:cs="Times New Roman"/>
          <w:sz w:val="24"/>
          <w:szCs w:val="24"/>
        </w:rPr>
        <w:t>Organizations</w:t>
      </w:r>
      <w:r w:rsidRPr="00FD2ED8">
        <w:rPr>
          <w:rFonts w:ascii="Times New Roman" w:hAnsi="Times New Roman" w:cs="Times New Roman"/>
          <w:sz w:val="24"/>
          <w:szCs w:val="24"/>
        </w:rPr>
        <w:t xml:space="preserve"> implement standardized appraisal processes through standard criteria to guarantee fair treatment of their employees. Guaranteed promotions and rewards in public agencies are more likely determined by meeting service requirements and regulatory standards instead of consistent performance excellence.</w:t>
      </w:r>
    </w:p>
    <w:p w:rsidR="00FD2ED8" w:rsidRPr="001E2938" w:rsidP="001D2D39" w14:paraId="2EF2AA02"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Private Sector:</w:t>
      </w:r>
    </w:p>
    <w:p w:rsidR="00FD2ED8" w:rsidRPr="00FD2ED8" w:rsidP="00A951B3" w14:paraId="387503F1" w14:textId="5E641FE5">
      <w:pPr>
        <w:spacing w:line="360" w:lineRule="auto"/>
        <w:jc w:val="both"/>
        <w:rPr>
          <w:rFonts w:ascii="Times New Roman" w:hAnsi="Times New Roman" w:cs="Times New Roman"/>
          <w:sz w:val="24"/>
          <w:szCs w:val="24"/>
        </w:rPr>
      </w:pPr>
      <w:r w:rsidRPr="00FD2ED8">
        <w:rPr>
          <w:rFonts w:ascii="Times New Roman" w:hAnsi="Times New Roman" w:cs="Times New Roman"/>
          <w:sz w:val="24"/>
          <w:szCs w:val="24"/>
        </w:rPr>
        <w:t>Organizations in the private sector base performance management solely on results that measure individual staff and team achievements for overall organizational success</w:t>
      </w:r>
      <w:r w:rsidR="00A951B3">
        <w:rPr>
          <w:rFonts w:ascii="Times New Roman" w:hAnsi="Times New Roman" w:cs="Times New Roman"/>
          <w:sz w:val="24"/>
          <w:szCs w:val="24"/>
        </w:rPr>
        <w:t xml:space="preserve"> </w:t>
      </w:r>
      <w:r w:rsidRPr="00A951B3" w:rsidR="00A951B3">
        <w:rPr>
          <w:rFonts w:ascii="Times New Roman" w:hAnsi="Times New Roman" w:cs="Times New Roman"/>
          <w:sz w:val="24"/>
          <w:szCs w:val="24"/>
        </w:rPr>
        <w:t>(Samwel, 2018)</w:t>
      </w:r>
      <w:r w:rsidRPr="00FD2ED8">
        <w:rPr>
          <w:rFonts w:ascii="Times New Roman" w:hAnsi="Times New Roman" w:cs="Times New Roman"/>
          <w:sz w:val="24"/>
          <w:szCs w:val="24"/>
        </w:rPr>
        <w:t>. Worker performance improves through performance-based incentive programs which link advancement opportunities to measurable goals that boost employee efforts towards innovation.</w:t>
      </w:r>
    </w:p>
    <w:p w:rsidR="00FD2ED8" w:rsidRPr="001E2938" w:rsidP="001D2D39" w14:paraId="637EEC49" w14:textId="77777777">
      <w:pPr>
        <w:spacing w:line="360" w:lineRule="auto"/>
        <w:jc w:val="both"/>
        <w:rPr>
          <w:rFonts w:ascii="Times New Roman" w:hAnsi="Times New Roman" w:cs="Times New Roman"/>
          <w:b/>
          <w:bCs/>
          <w:sz w:val="24"/>
          <w:szCs w:val="24"/>
        </w:rPr>
      </w:pPr>
      <w:r w:rsidRPr="001E2938">
        <w:rPr>
          <w:rFonts w:ascii="Times New Roman" w:hAnsi="Times New Roman" w:cs="Times New Roman"/>
          <w:b/>
          <w:bCs/>
          <w:sz w:val="24"/>
          <w:szCs w:val="24"/>
        </w:rPr>
        <w:t>Cultural Differences</w:t>
      </w:r>
    </w:p>
    <w:p w:rsidR="00FD2ED8" w:rsidRPr="001E2938" w:rsidP="001D2D39" w14:paraId="173B91AD" w14:textId="3D6B7F62">
      <w:pPr>
        <w:pStyle w:val="ListParagraph"/>
        <w:numPr>
          <w:ilvl w:val="0"/>
          <w:numId w:val="6"/>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Hierarchy and Innovation</w:t>
      </w:r>
    </w:p>
    <w:p w:rsidR="00FD2ED8" w:rsidRPr="00FD2ED8" w:rsidP="001D2D39" w14:paraId="1BEF6C9A" w14:textId="521EDF5D">
      <w:pPr>
        <w:spacing w:line="360" w:lineRule="auto"/>
        <w:jc w:val="both"/>
        <w:rPr>
          <w:rFonts w:ascii="Times New Roman" w:hAnsi="Times New Roman" w:cs="Times New Roman"/>
          <w:sz w:val="24"/>
          <w:szCs w:val="24"/>
        </w:rPr>
      </w:pPr>
      <w:r w:rsidRPr="00FD2ED8">
        <w:rPr>
          <w:rFonts w:ascii="Times New Roman" w:hAnsi="Times New Roman" w:cs="Times New Roman"/>
          <w:sz w:val="24"/>
          <w:szCs w:val="24"/>
        </w:rPr>
        <w:t>The two sectors possess contrasting cultural norms because they handle hierarchy differently and show varying levels of innovation.</w:t>
      </w:r>
    </w:p>
    <w:p w:rsidR="00FD2ED8" w:rsidRPr="001E2938" w:rsidP="001D2D39" w14:paraId="4B260A04"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Public Sector:</w:t>
      </w:r>
    </w:p>
    <w:p w:rsidR="00FD2ED8" w:rsidRPr="00FD2ED8" w:rsidP="00A951B3" w14:paraId="78FC5F0C" w14:textId="5A59C2EC">
      <w:pPr>
        <w:spacing w:line="360" w:lineRule="auto"/>
        <w:jc w:val="both"/>
        <w:rPr>
          <w:rFonts w:ascii="Times New Roman" w:hAnsi="Times New Roman" w:cs="Times New Roman"/>
          <w:sz w:val="24"/>
          <w:szCs w:val="24"/>
        </w:rPr>
      </w:pPr>
      <w:r w:rsidRPr="00FD2ED8">
        <w:rPr>
          <w:rFonts w:ascii="Times New Roman" w:hAnsi="Times New Roman" w:cs="Times New Roman"/>
          <w:sz w:val="24"/>
          <w:szCs w:val="24"/>
        </w:rPr>
        <w:t>The public sector adopts a hierarchical organizational system that establishes precise job functions together with defined work duties. Policies and regulations take central positions during decision-making processes where avoidance of potential risks emerges due to public scrutiny protocols</w:t>
      </w:r>
      <w:r w:rsidR="00A951B3">
        <w:rPr>
          <w:rFonts w:ascii="Times New Roman" w:hAnsi="Times New Roman" w:cs="Times New Roman"/>
          <w:sz w:val="24"/>
          <w:szCs w:val="24"/>
        </w:rPr>
        <w:t xml:space="preserve"> </w:t>
      </w:r>
      <w:r w:rsidRPr="00A951B3" w:rsidR="00A951B3">
        <w:rPr>
          <w:rFonts w:ascii="Times New Roman" w:hAnsi="Times New Roman" w:cs="Times New Roman"/>
          <w:sz w:val="24"/>
          <w:szCs w:val="24"/>
        </w:rPr>
        <w:t>(Monteiro and Adler, 2021)</w:t>
      </w:r>
      <w:r w:rsidRPr="00FD2ED8">
        <w:rPr>
          <w:rFonts w:ascii="Times New Roman" w:hAnsi="Times New Roman" w:cs="Times New Roman"/>
          <w:sz w:val="24"/>
          <w:szCs w:val="24"/>
        </w:rPr>
        <w:t>. Organizational stability remains a positive outcome of this environment, yet it disturbs innovation and agility.</w:t>
      </w:r>
    </w:p>
    <w:p w:rsidR="00FD2ED8" w:rsidRPr="001E2938" w:rsidP="001D2D39" w14:paraId="04D73E8F"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Private Sector:</w:t>
      </w:r>
    </w:p>
    <w:p w:rsidR="00FD2ED8" w:rsidP="00A951B3" w14:paraId="7C9F6FC1" w14:textId="66E40BAB">
      <w:pPr>
        <w:spacing w:line="360" w:lineRule="auto"/>
        <w:jc w:val="both"/>
        <w:rPr>
          <w:rFonts w:ascii="Times New Roman" w:hAnsi="Times New Roman" w:cs="Times New Roman"/>
          <w:sz w:val="24"/>
          <w:szCs w:val="24"/>
        </w:rPr>
      </w:pPr>
      <w:r w:rsidRPr="00FD2ED8">
        <w:rPr>
          <w:rFonts w:ascii="Times New Roman" w:hAnsi="Times New Roman" w:cs="Times New Roman"/>
          <w:sz w:val="24"/>
          <w:szCs w:val="24"/>
        </w:rPr>
        <w:t>The private sector displays higher dynamic behaviours and an elevated drive toward innovation. Organizations support risk-taking, initiative, and collaborative aborative work to maintain industry competitiveness</w:t>
      </w:r>
      <w:r w:rsidR="00A951B3">
        <w:rPr>
          <w:rFonts w:ascii="Times New Roman" w:hAnsi="Times New Roman" w:cs="Times New Roman"/>
          <w:sz w:val="24"/>
          <w:szCs w:val="24"/>
        </w:rPr>
        <w:t xml:space="preserve"> </w:t>
      </w:r>
      <w:r w:rsidRPr="00A951B3" w:rsidR="00A951B3">
        <w:rPr>
          <w:rFonts w:ascii="Times New Roman" w:hAnsi="Times New Roman" w:cs="Times New Roman"/>
          <w:sz w:val="24"/>
          <w:szCs w:val="24"/>
        </w:rPr>
        <w:t>(</w:t>
      </w:r>
      <w:r w:rsidRPr="00A951B3" w:rsidR="00A951B3">
        <w:rPr>
          <w:rFonts w:ascii="Times New Roman" w:hAnsi="Times New Roman" w:cs="Times New Roman"/>
          <w:sz w:val="24"/>
          <w:szCs w:val="24"/>
        </w:rPr>
        <w:t>Rajapathirana</w:t>
      </w:r>
      <w:r w:rsidRPr="00A951B3" w:rsidR="00A951B3">
        <w:rPr>
          <w:rFonts w:ascii="Times New Roman" w:hAnsi="Times New Roman" w:cs="Times New Roman"/>
          <w:sz w:val="24"/>
          <w:szCs w:val="24"/>
        </w:rPr>
        <w:t xml:space="preserve"> and Hui, 2017)</w:t>
      </w:r>
      <w:r w:rsidRPr="00FD2ED8">
        <w:rPr>
          <w:rFonts w:ascii="Times New Roman" w:hAnsi="Times New Roman" w:cs="Times New Roman"/>
          <w:sz w:val="24"/>
          <w:szCs w:val="24"/>
        </w:rPr>
        <w:t>. Staff members benefit from independent workplace control as well as chances to switch between different departments.</w:t>
      </w:r>
    </w:p>
    <w:p w:rsidR="00677DBE" w:rsidRPr="001E2938" w:rsidP="001D2D39" w14:paraId="1D5BFFE3" w14:textId="3CB5809C">
      <w:pPr>
        <w:pStyle w:val="ListParagraph"/>
        <w:numPr>
          <w:ilvl w:val="0"/>
          <w:numId w:val="6"/>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Employee Relations</w:t>
      </w:r>
    </w:p>
    <w:p w:rsidR="00677DBE" w:rsidRPr="00677DBE" w:rsidP="001D2D39" w14:paraId="258C4D4F" w14:textId="720D1155">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 xml:space="preserve">Each </w:t>
      </w:r>
      <w:r w:rsidRPr="00677DBE">
        <w:rPr>
          <w:rFonts w:ascii="Times New Roman" w:hAnsi="Times New Roman" w:cs="Times New Roman"/>
          <w:sz w:val="24"/>
          <w:szCs w:val="24"/>
        </w:rPr>
        <w:t>employee</w:t>
      </w:r>
      <w:r w:rsidRPr="00677DBE">
        <w:rPr>
          <w:rFonts w:ascii="Times New Roman" w:hAnsi="Times New Roman" w:cs="Times New Roman"/>
          <w:sz w:val="24"/>
          <w:szCs w:val="24"/>
        </w:rPr>
        <w:t xml:space="preserve"> relations system handles collective bargaining arrangements differently than it approaches personal employee interaction.</w:t>
      </w:r>
    </w:p>
    <w:p w:rsidR="00677DBE" w:rsidRPr="001E2938" w:rsidP="001D2D39" w14:paraId="127E9443"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Public Sector:</w:t>
      </w:r>
    </w:p>
    <w:p w:rsidR="00677DBE" w:rsidRPr="00677DBE" w:rsidP="00A951B3" w14:paraId="384B1347" w14:textId="7659DB6D">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Union representation in public organizations influences all aspects of work, including standardized agreements for employment benefits and workplace rules</w:t>
      </w:r>
      <w:r w:rsidR="00A951B3">
        <w:rPr>
          <w:rFonts w:ascii="Times New Roman" w:hAnsi="Times New Roman" w:cs="Times New Roman"/>
          <w:sz w:val="24"/>
          <w:szCs w:val="24"/>
        </w:rPr>
        <w:t xml:space="preserve"> </w:t>
      </w:r>
      <w:r w:rsidRPr="00A951B3" w:rsidR="00A951B3">
        <w:rPr>
          <w:rFonts w:ascii="Times New Roman" w:hAnsi="Times New Roman" w:cs="Times New Roman"/>
          <w:sz w:val="24"/>
          <w:szCs w:val="24"/>
        </w:rPr>
        <w:t>(Hagedorn et al., 2016)</w:t>
      </w:r>
      <w:r w:rsidRPr="00677DBE">
        <w:rPr>
          <w:rFonts w:ascii="Times New Roman" w:hAnsi="Times New Roman" w:cs="Times New Roman"/>
          <w:sz w:val="24"/>
          <w:szCs w:val="24"/>
        </w:rPr>
        <w:t>. Through their advocacy, employee unions help companies set up formal ways to solve workplace conflicts.</w:t>
      </w:r>
    </w:p>
    <w:p w:rsidR="00677DBE" w:rsidRPr="001E2938" w:rsidP="001D2D39" w14:paraId="332F61B6" w14:textId="77777777">
      <w:pPr>
        <w:spacing w:line="360" w:lineRule="auto"/>
        <w:jc w:val="both"/>
        <w:rPr>
          <w:rFonts w:ascii="Times New Roman" w:hAnsi="Times New Roman" w:cs="Times New Roman"/>
          <w:sz w:val="24"/>
          <w:szCs w:val="24"/>
          <w:u w:val="single"/>
        </w:rPr>
      </w:pPr>
      <w:r w:rsidRPr="001E2938">
        <w:rPr>
          <w:rFonts w:ascii="Times New Roman" w:hAnsi="Times New Roman" w:cs="Times New Roman"/>
          <w:sz w:val="24"/>
          <w:szCs w:val="24"/>
          <w:u w:val="single"/>
        </w:rPr>
        <w:t>Private Sector:</w:t>
      </w:r>
    </w:p>
    <w:p w:rsidR="00677DBE" w:rsidRPr="00677DBE" w:rsidP="00733E73" w14:paraId="757A0855" w14:textId="075EDAE7">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Private sector organizations use employee interaction systems more often since they do not have a strong union presence</w:t>
      </w:r>
      <w:r w:rsidR="00733E73">
        <w:rPr>
          <w:rFonts w:ascii="Times New Roman" w:hAnsi="Times New Roman" w:cs="Times New Roman"/>
          <w:sz w:val="24"/>
          <w:szCs w:val="24"/>
        </w:rPr>
        <w:t xml:space="preserve"> </w:t>
      </w:r>
      <w:r w:rsidRPr="00733E73" w:rsidR="00733E73">
        <w:rPr>
          <w:rFonts w:ascii="Times New Roman" w:hAnsi="Times New Roman" w:cs="Times New Roman"/>
          <w:sz w:val="24"/>
          <w:szCs w:val="24"/>
        </w:rPr>
        <w:t>(Gautam and Gautam, 2023)</w:t>
      </w:r>
      <w:r w:rsidRPr="00677DBE">
        <w:rPr>
          <w:rFonts w:ascii="Times New Roman" w:hAnsi="Times New Roman" w:cs="Times New Roman"/>
          <w:sz w:val="24"/>
          <w:szCs w:val="24"/>
        </w:rPr>
        <w:t>. Organizations use open-door policy feedback meetings and employee surveys to build better relationships with their staff members.</w:t>
      </w:r>
    </w:p>
    <w:p w:rsidR="00677DBE" w:rsidRPr="001E2938" w:rsidP="001D2D39" w14:paraId="0EADC581" w14:textId="77777777">
      <w:pPr>
        <w:spacing w:line="360" w:lineRule="auto"/>
        <w:jc w:val="both"/>
        <w:rPr>
          <w:rFonts w:ascii="Times New Roman" w:hAnsi="Times New Roman" w:cs="Times New Roman"/>
          <w:b/>
          <w:bCs/>
          <w:sz w:val="24"/>
          <w:szCs w:val="24"/>
        </w:rPr>
      </w:pPr>
      <w:r w:rsidRPr="001E2938">
        <w:rPr>
          <w:rFonts w:ascii="Times New Roman" w:hAnsi="Times New Roman" w:cs="Times New Roman"/>
          <w:b/>
          <w:bCs/>
          <w:sz w:val="24"/>
          <w:szCs w:val="24"/>
        </w:rPr>
        <w:t>Training Recommendations for Adaptation</w:t>
      </w:r>
    </w:p>
    <w:p w:rsidR="00677DBE" w:rsidRPr="001E2938" w:rsidP="001D2D39" w14:paraId="349672AE" w14:textId="0ABA3AE1">
      <w:pPr>
        <w:pStyle w:val="ListParagraph"/>
        <w:numPr>
          <w:ilvl w:val="0"/>
          <w:numId w:val="7"/>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Emphasizing Public Sector Governance and Regulations</w:t>
      </w:r>
      <w:r w:rsidRPr="001E2938">
        <w:rPr>
          <w:rFonts w:ascii="Times New Roman" w:hAnsi="Times New Roman" w:cs="Times New Roman"/>
          <w:sz w:val="24"/>
          <w:szCs w:val="24"/>
        </w:rPr>
        <w:t xml:space="preserve"> </w:t>
      </w:r>
    </w:p>
    <w:p w:rsidR="00677DBE" w:rsidRPr="00677DBE" w:rsidP="001D2D39" w14:paraId="068D9391" w14:textId="0CAFB646">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To achieve public sector work, you must first comprehend its management framework. Managers should study the official rules that apply to their work, plus rules on government compliance and accountability. Leadership training should teach staff members how to interpret official regulations and adjust their decision-making methods to meet the standards.</w:t>
      </w:r>
    </w:p>
    <w:p w:rsidR="00677DBE" w:rsidRPr="001E2938" w:rsidP="001D2D39" w14:paraId="0062C426" w14:textId="0BD3B18B">
      <w:pPr>
        <w:pStyle w:val="ListParagraph"/>
        <w:numPr>
          <w:ilvl w:val="0"/>
          <w:numId w:val="7"/>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Highlighting Public Service Values</w:t>
      </w:r>
    </w:p>
    <w:p w:rsidR="00677DBE" w:rsidRPr="00677DBE" w:rsidP="001D2D39" w14:paraId="1D74CE51" w14:textId="4BF048B0">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Public service organizations focus on delivering firm services to all citizens equally. Managers need to adopt public sector values and show their teams how to serve their customers effectively. Managers should work to create linked teams using equal employee standards and build an environment that includes many different people.</w:t>
      </w:r>
    </w:p>
    <w:p w:rsidR="00677DBE" w:rsidRPr="001E2938" w:rsidP="001D2D39" w14:paraId="251BCDB9" w14:textId="2B67175A">
      <w:pPr>
        <w:pStyle w:val="ListParagraph"/>
        <w:numPr>
          <w:ilvl w:val="0"/>
          <w:numId w:val="7"/>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Encouraging Adaptability</w:t>
      </w:r>
    </w:p>
    <w:p w:rsidR="00677DBE" w:rsidRPr="00677DBE" w:rsidP="001D2D39" w14:paraId="1708055C" w14:textId="5C2156B0">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The ability to adjust to new requirements defines success during the public sector career move. Managers should learn to navigate specific procedures at work while dealing with many stakeholders and solve problems within their existing constraints.</w:t>
      </w:r>
    </w:p>
    <w:p w:rsidR="00677DBE" w:rsidRPr="001E2938" w:rsidP="001D2D39" w14:paraId="29C24CED" w14:textId="157E88A2">
      <w:pPr>
        <w:pStyle w:val="ListParagraph"/>
        <w:numPr>
          <w:ilvl w:val="0"/>
          <w:numId w:val="7"/>
        </w:numPr>
        <w:spacing w:line="360" w:lineRule="auto"/>
        <w:jc w:val="both"/>
        <w:rPr>
          <w:rFonts w:ascii="Times New Roman" w:hAnsi="Times New Roman" w:cs="Times New Roman"/>
          <w:sz w:val="24"/>
          <w:szCs w:val="24"/>
        </w:rPr>
      </w:pPr>
      <w:r w:rsidRPr="001E2938">
        <w:rPr>
          <w:rFonts w:ascii="Times New Roman" w:hAnsi="Times New Roman" w:cs="Times New Roman"/>
          <w:sz w:val="24"/>
          <w:szCs w:val="24"/>
        </w:rPr>
        <w:t>Bridging Cultural Differences</w:t>
      </w:r>
    </w:p>
    <w:p w:rsidR="00677DBE" w:rsidRPr="00677DBE" w:rsidP="001D2D39" w14:paraId="1E0DE3E9" w14:textId="77777777">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Training needs to teach managers how to work effectively with various organizational structures and get people from different areas to work together when there is a strong focus on avoiding risk. Managers need to test how private business rewards systems work alongside public sector standards of operation.</w:t>
      </w:r>
    </w:p>
    <w:p w:rsidR="00677DBE" w:rsidRPr="001E2938" w:rsidP="001D2D39" w14:paraId="74232B6D" w14:textId="77777777">
      <w:pPr>
        <w:spacing w:line="360" w:lineRule="auto"/>
        <w:jc w:val="both"/>
        <w:rPr>
          <w:rFonts w:ascii="Times New Roman" w:hAnsi="Times New Roman" w:cs="Times New Roman"/>
          <w:b/>
          <w:bCs/>
          <w:sz w:val="24"/>
          <w:szCs w:val="24"/>
        </w:rPr>
      </w:pPr>
      <w:r w:rsidRPr="001E2938">
        <w:rPr>
          <w:rFonts w:ascii="Times New Roman" w:hAnsi="Times New Roman" w:cs="Times New Roman"/>
          <w:b/>
          <w:bCs/>
          <w:sz w:val="24"/>
          <w:szCs w:val="24"/>
        </w:rPr>
        <w:t>Justification and Conclusion</w:t>
      </w:r>
    </w:p>
    <w:p w:rsidR="00677DBE" w:rsidRPr="00677DBE" w:rsidP="001D2D39" w14:paraId="080D04E9" w14:textId="63DF0C37">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 xml:space="preserve">Private workers who join public service deliver better performance through their knowledge of managing outcomes and motivating parties involved. These capabilities assist in making operations better while achieving performance targets and creating a new way of working. Public </w:t>
      </w:r>
      <w:r w:rsidRPr="00677DBE">
        <w:rPr>
          <w:rFonts w:ascii="Times New Roman" w:hAnsi="Times New Roman" w:cs="Times New Roman"/>
          <w:sz w:val="24"/>
          <w:szCs w:val="24"/>
        </w:rPr>
        <w:t>sector success demands public servants to integrate their strengths with the special values and operating methods of government services.</w:t>
      </w:r>
    </w:p>
    <w:p w:rsidR="00677DBE" w:rsidRPr="00677DBE" w:rsidP="001D2D39" w14:paraId="7870D03F" w14:textId="7EE49310">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Public sector newcomers must respect fair dealings and learn to work with unions. At the same time, they need to handle legal public service standards. Public sector organizations benefit from the expertise of private sector managers when these managers develop public service skills and retain their focus on public sector values.</w:t>
      </w:r>
    </w:p>
    <w:p w:rsidR="00677DBE" w:rsidRPr="00677DBE" w:rsidP="001D2D39" w14:paraId="1AF20630" w14:textId="77777777">
      <w:pPr>
        <w:spacing w:line="360" w:lineRule="auto"/>
        <w:jc w:val="both"/>
        <w:rPr>
          <w:rFonts w:ascii="Times New Roman" w:hAnsi="Times New Roman" w:cs="Times New Roman"/>
          <w:sz w:val="24"/>
          <w:szCs w:val="24"/>
        </w:rPr>
      </w:pPr>
      <w:r w:rsidRPr="00677DBE">
        <w:rPr>
          <w:rFonts w:ascii="Times New Roman" w:hAnsi="Times New Roman" w:cs="Times New Roman"/>
          <w:sz w:val="24"/>
          <w:szCs w:val="24"/>
        </w:rPr>
        <w:t>The public sector performs better when private sector managers bring innovative ways to deliver results, but they should adhere to government work's formal rules and standards. New managers stock to public service values and standards when they develop better ways to run the organization.</w:t>
      </w:r>
    </w:p>
    <w:p w:rsidR="00677DBE" w:rsidRPr="00677DBE" w:rsidP="00677DBE" w14:paraId="51E4184F" w14:textId="77777777">
      <w:pPr>
        <w:spacing w:line="360" w:lineRule="auto"/>
        <w:jc w:val="both"/>
        <w:rPr>
          <w:rFonts w:ascii="Times New Roman" w:hAnsi="Times New Roman" w:cs="Times New Roman"/>
          <w:sz w:val="24"/>
          <w:szCs w:val="24"/>
        </w:rPr>
      </w:pPr>
    </w:p>
    <w:p w:rsidR="00677DBE" w:rsidRPr="00677DBE" w:rsidP="00677DBE" w14:paraId="3685635E" w14:textId="77777777">
      <w:pPr>
        <w:spacing w:line="360" w:lineRule="auto"/>
        <w:jc w:val="both"/>
        <w:rPr>
          <w:rFonts w:ascii="Times New Roman" w:hAnsi="Times New Roman" w:cs="Times New Roman"/>
          <w:sz w:val="24"/>
          <w:szCs w:val="24"/>
        </w:rPr>
      </w:pPr>
    </w:p>
    <w:p w:rsidR="00677DBE" w:rsidRPr="00677DBE" w:rsidP="00677DBE" w14:paraId="19778BCE" w14:textId="77777777">
      <w:pPr>
        <w:spacing w:line="360" w:lineRule="auto"/>
        <w:jc w:val="both"/>
        <w:rPr>
          <w:rFonts w:ascii="Times New Roman" w:hAnsi="Times New Roman" w:cs="Times New Roman"/>
          <w:sz w:val="24"/>
          <w:szCs w:val="24"/>
        </w:rPr>
      </w:pPr>
    </w:p>
    <w:p w:rsidR="00677DBE" w:rsidRPr="00FD2ED8" w:rsidP="00FD2ED8" w14:paraId="24FE1569" w14:textId="77777777">
      <w:pPr>
        <w:spacing w:line="360" w:lineRule="auto"/>
        <w:jc w:val="both"/>
        <w:rPr>
          <w:rFonts w:ascii="Times New Roman" w:hAnsi="Times New Roman" w:cs="Times New Roman"/>
          <w:sz w:val="24"/>
          <w:szCs w:val="24"/>
        </w:rPr>
      </w:pPr>
    </w:p>
    <w:p w:rsidR="00487287" w:rsidRPr="00C44DAB" w:rsidP="00487287" w14:paraId="43608BF3" w14:textId="77777777">
      <w:pPr>
        <w:spacing w:line="360" w:lineRule="auto"/>
        <w:jc w:val="both"/>
        <w:rPr>
          <w:rFonts w:ascii="Times New Roman" w:hAnsi="Times New Roman" w:cs="Times New Roman"/>
          <w:sz w:val="24"/>
          <w:szCs w:val="24"/>
        </w:rPr>
      </w:pPr>
    </w:p>
    <w:p w:rsidR="00B05877" w:rsidRPr="00C44DAB" w:rsidP="00B05877" w14:paraId="4E4BB775" w14:textId="77777777">
      <w:pPr>
        <w:pStyle w:val="NormalWeb"/>
        <w:spacing w:line="360" w:lineRule="auto"/>
      </w:pPr>
    </w:p>
    <w:p w:rsidR="00B05877" w:rsidRPr="00B05877" w:rsidP="00B05877" w14:paraId="49C9EE20" w14:textId="77777777">
      <w:pPr>
        <w:spacing w:line="360" w:lineRule="auto"/>
        <w:jc w:val="both"/>
        <w:rPr>
          <w:rFonts w:ascii="Times New Roman" w:hAnsi="Times New Roman" w:cs="Times New Roman"/>
          <w:sz w:val="24"/>
          <w:szCs w:val="24"/>
        </w:rPr>
      </w:pPr>
    </w:p>
    <w:p w:rsidR="00265AFB" w:rsidRPr="008244B8" w:rsidP="008244B8" w14:paraId="62C12DAB" w14:textId="77777777">
      <w:pPr>
        <w:spacing w:line="360" w:lineRule="auto"/>
        <w:rPr>
          <w:rFonts w:ascii="Times New Roman" w:hAnsi="Times New Roman" w:cs="Times New Roman"/>
          <w:sz w:val="24"/>
          <w:szCs w:val="24"/>
        </w:rPr>
      </w:pPr>
    </w:p>
    <w:p w:rsidR="00EC00BA" w:rsidRPr="008244B8" w:rsidP="008244B8" w14:paraId="2801F67A" w14:textId="77777777">
      <w:pPr>
        <w:spacing w:line="360" w:lineRule="auto"/>
        <w:rPr>
          <w:rFonts w:ascii="Times New Roman" w:hAnsi="Times New Roman" w:cs="Times New Roman"/>
          <w:sz w:val="24"/>
          <w:szCs w:val="24"/>
        </w:rPr>
      </w:pPr>
      <w:r w:rsidRPr="008244B8">
        <w:rPr>
          <w:rFonts w:ascii="Times New Roman" w:hAnsi="Times New Roman" w:cs="Times New Roman"/>
          <w:sz w:val="24"/>
          <w:szCs w:val="24"/>
        </w:rPr>
        <w:br w:type="page"/>
      </w:r>
    </w:p>
    <w:p w:rsidR="00321CF7" w:rsidRPr="00161EA3" w:rsidP="00161EA3" w14:paraId="79ECDE32" w14:textId="2CAEE25C">
      <w:pPr>
        <w:pStyle w:val="Heading1"/>
        <w:spacing w:line="360" w:lineRule="auto"/>
        <w:jc w:val="center"/>
        <w:rPr>
          <w:rFonts w:ascii="Times New Roman" w:hAnsi="Times New Roman" w:cs="Times New Roman"/>
          <w:b/>
          <w:color w:val="auto"/>
          <w:sz w:val="24"/>
          <w:szCs w:val="24"/>
        </w:rPr>
      </w:pPr>
      <w:r w:rsidRPr="008244B8">
        <w:rPr>
          <w:rFonts w:ascii="Times New Roman" w:hAnsi="Times New Roman" w:cs="Times New Roman"/>
          <w:b/>
          <w:color w:val="auto"/>
          <w:sz w:val="24"/>
          <w:szCs w:val="24"/>
        </w:rPr>
        <w:t>References</w:t>
      </w:r>
    </w:p>
    <w:p w:rsidR="00733E73" w:rsidRPr="008D2E20" w:rsidP="00733E73" w14:paraId="0992F34B" w14:textId="77777777">
      <w:pPr>
        <w:spacing w:line="360" w:lineRule="auto"/>
        <w:ind w:left="720" w:hanging="720"/>
        <w:jc w:val="both"/>
        <w:rPr>
          <w:rFonts w:ascii="Times New Roman" w:hAnsi="Times New Roman" w:cs="Times New Roman"/>
          <w:sz w:val="24"/>
          <w:szCs w:val="24"/>
          <w:shd w:val="clear" w:color="auto" w:fill="FFFFFF"/>
        </w:rPr>
      </w:pPr>
      <w:r w:rsidRPr="008D2E20">
        <w:rPr>
          <w:rFonts w:ascii="Times New Roman" w:hAnsi="Times New Roman" w:cs="Times New Roman"/>
          <w:sz w:val="24"/>
          <w:szCs w:val="24"/>
          <w:shd w:val="clear" w:color="auto" w:fill="FFFFFF"/>
        </w:rPr>
        <w:t xml:space="preserve">Adisa, T.A., </w:t>
      </w:r>
      <w:r w:rsidRPr="008D2E20">
        <w:rPr>
          <w:rFonts w:ascii="Times New Roman" w:hAnsi="Times New Roman" w:cs="Times New Roman"/>
          <w:sz w:val="24"/>
          <w:szCs w:val="24"/>
          <w:shd w:val="clear" w:color="auto" w:fill="FFFFFF"/>
        </w:rPr>
        <w:t>Antonacopoulou</w:t>
      </w:r>
      <w:r w:rsidRPr="008D2E20">
        <w:rPr>
          <w:rFonts w:ascii="Times New Roman" w:hAnsi="Times New Roman" w:cs="Times New Roman"/>
          <w:sz w:val="24"/>
          <w:szCs w:val="24"/>
          <w:shd w:val="clear" w:color="auto" w:fill="FFFFFF"/>
        </w:rPr>
        <w:t xml:space="preserve">, E., Beauregard, T.A., Dickmann, M. and Adekoya, O.D., 2022. Exploring the impact of COVID‐19 on employees' boundary management and work-life balance. </w:t>
      </w:r>
      <w:r w:rsidRPr="008D2E20">
        <w:rPr>
          <w:rFonts w:ascii="Times New Roman" w:hAnsi="Times New Roman" w:cs="Times New Roman"/>
          <w:i/>
          <w:iCs/>
          <w:sz w:val="24"/>
          <w:szCs w:val="24"/>
          <w:shd w:val="clear" w:color="auto" w:fill="FFFFFF"/>
        </w:rPr>
        <w:t>British Journal of Management</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33</w:t>
      </w:r>
      <w:r w:rsidRPr="008D2E20">
        <w:rPr>
          <w:rFonts w:ascii="Times New Roman" w:hAnsi="Times New Roman" w:cs="Times New Roman"/>
          <w:sz w:val="24"/>
          <w:szCs w:val="24"/>
          <w:shd w:val="clear" w:color="auto" w:fill="FFFFFF"/>
        </w:rPr>
        <w:t>(4), pp.1694-1709.</w:t>
      </w:r>
    </w:p>
    <w:p w:rsidR="00733E73" w:rsidRPr="008D2E20" w:rsidP="00733E73" w14:paraId="658C4D4D"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Agustian</w:t>
      </w:r>
      <w:r w:rsidRPr="008D2E20">
        <w:rPr>
          <w:rFonts w:ascii="Times New Roman" w:hAnsi="Times New Roman" w:cs="Times New Roman"/>
          <w:sz w:val="24"/>
          <w:szCs w:val="24"/>
          <w:shd w:val="clear" w:color="auto" w:fill="FFFFFF"/>
        </w:rPr>
        <w:t xml:space="preserve">, K., </w:t>
      </w:r>
      <w:r w:rsidRPr="008D2E20">
        <w:rPr>
          <w:rFonts w:ascii="Times New Roman" w:hAnsi="Times New Roman" w:cs="Times New Roman"/>
          <w:sz w:val="24"/>
          <w:szCs w:val="24"/>
          <w:shd w:val="clear" w:color="auto" w:fill="FFFFFF"/>
        </w:rPr>
        <w:t>Pohan</w:t>
      </w:r>
      <w:r w:rsidRPr="008D2E20">
        <w:rPr>
          <w:rFonts w:ascii="Times New Roman" w:hAnsi="Times New Roman" w:cs="Times New Roman"/>
          <w:sz w:val="24"/>
          <w:szCs w:val="24"/>
          <w:shd w:val="clear" w:color="auto" w:fill="FFFFFF"/>
        </w:rPr>
        <w:t xml:space="preserve">, A., Zen, A., </w:t>
      </w:r>
      <w:r w:rsidRPr="008D2E20">
        <w:rPr>
          <w:rFonts w:ascii="Times New Roman" w:hAnsi="Times New Roman" w:cs="Times New Roman"/>
          <w:sz w:val="24"/>
          <w:szCs w:val="24"/>
          <w:shd w:val="clear" w:color="auto" w:fill="FFFFFF"/>
        </w:rPr>
        <w:t>Wiwin</w:t>
      </w:r>
      <w:r w:rsidRPr="008D2E20">
        <w:rPr>
          <w:rFonts w:ascii="Times New Roman" w:hAnsi="Times New Roman" w:cs="Times New Roman"/>
          <w:sz w:val="24"/>
          <w:szCs w:val="24"/>
          <w:shd w:val="clear" w:color="auto" w:fill="FFFFFF"/>
        </w:rPr>
        <w:t>, W. and Malik, A.J., 2023. Human resource management strategies in achieving competitive advantage in business administration. </w:t>
      </w:r>
      <w:r w:rsidRPr="008D2E20">
        <w:rPr>
          <w:rFonts w:ascii="Times New Roman" w:hAnsi="Times New Roman" w:cs="Times New Roman"/>
          <w:i/>
          <w:iCs/>
          <w:sz w:val="24"/>
          <w:szCs w:val="24"/>
          <w:shd w:val="clear" w:color="auto" w:fill="FFFFFF"/>
        </w:rPr>
        <w:t>Journal of Contemporary Administration and Management (ADMAN)</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w:t>
      </w:r>
      <w:r w:rsidRPr="008D2E20">
        <w:rPr>
          <w:rFonts w:ascii="Times New Roman" w:hAnsi="Times New Roman" w:cs="Times New Roman"/>
          <w:sz w:val="24"/>
          <w:szCs w:val="24"/>
          <w:shd w:val="clear" w:color="auto" w:fill="FFFFFF"/>
        </w:rPr>
        <w:t>(2), pp.108-117.</w:t>
      </w:r>
    </w:p>
    <w:p w:rsidR="00733E73" w:rsidRPr="008D2E20" w:rsidP="00733E73" w14:paraId="527E60A2"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Ahuchogu</w:t>
      </w:r>
      <w:r w:rsidRPr="008D2E20">
        <w:rPr>
          <w:rFonts w:ascii="Times New Roman" w:hAnsi="Times New Roman" w:cs="Times New Roman"/>
          <w:sz w:val="24"/>
          <w:szCs w:val="24"/>
          <w:shd w:val="clear" w:color="auto" w:fill="FFFFFF"/>
        </w:rPr>
        <w:t xml:space="preserve">, M.C., </w:t>
      </w:r>
      <w:r w:rsidRPr="008D2E20">
        <w:rPr>
          <w:rFonts w:ascii="Times New Roman" w:hAnsi="Times New Roman" w:cs="Times New Roman"/>
          <w:sz w:val="24"/>
          <w:szCs w:val="24"/>
          <w:shd w:val="clear" w:color="auto" w:fill="FFFFFF"/>
        </w:rPr>
        <w:t>Sanyaolu</w:t>
      </w:r>
      <w:r w:rsidRPr="008D2E20">
        <w:rPr>
          <w:rFonts w:ascii="Times New Roman" w:hAnsi="Times New Roman" w:cs="Times New Roman"/>
          <w:sz w:val="24"/>
          <w:szCs w:val="24"/>
          <w:shd w:val="clear" w:color="auto" w:fill="FFFFFF"/>
        </w:rPr>
        <w:t>, T.O. and Adeleke, A.G., 2024. Enhancing employee engagement in long-haul transport: Review of best practices and innovative approaches. </w:t>
      </w:r>
      <w:r w:rsidRPr="008D2E20">
        <w:rPr>
          <w:rFonts w:ascii="Times New Roman" w:hAnsi="Times New Roman" w:cs="Times New Roman"/>
          <w:i/>
          <w:iCs/>
          <w:sz w:val="24"/>
          <w:szCs w:val="24"/>
          <w:shd w:val="clear" w:color="auto" w:fill="FFFFFF"/>
        </w:rPr>
        <w:t>Global Journal of Research in Science and Technology</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2</w:t>
      </w:r>
      <w:r w:rsidRPr="008D2E20">
        <w:rPr>
          <w:rFonts w:ascii="Times New Roman" w:hAnsi="Times New Roman" w:cs="Times New Roman"/>
          <w:sz w:val="24"/>
          <w:szCs w:val="24"/>
          <w:shd w:val="clear" w:color="auto" w:fill="FFFFFF"/>
        </w:rPr>
        <w:t>(01), pp.046-060.</w:t>
      </w:r>
    </w:p>
    <w:p w:rsidR="00733E73" w:rsidRPr="00733E73" w:rsidP="00733E73" w14:paraId="554E02A3"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Ali, A., Ullah, R., Hashim, S. and Nawaz, T. (2023). Exploring the Impact of Recruitment and Selection on Organizational Performance. ResearchGate, [online] 12(3), pp.205–215. Available at: https://www.researchgate.net/publication/374297422_Exploring_the_Impact_of_Recruitment_and_Selection_on_Organizational_Performance.</w:t>
      </w:r>
    </w:p>
    <w:p w:rsidR="00733E73" w:rsidRPr="008D2E20" w:rsidP="00733E73" w14:paraId="2CC8149D"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Baabdullah</w:t>
      </w:r>
      <w:r w:rsidRPr="008D2E20">
        <w:rPr>
          <w:rFonts w:ascii="Times New Roman" w:hAnsi="Times New Roman" w:cs="Times New Roman"/>
          <w:sz w:val="24"/>
          <w:szCs w:val="24"/>
          <w:shd w:val="clear" w:color="auto" w:fill="FFFFFF"/>
        </w:rPr>
        <w:t xml:space="preserve">, A.M., </w:t>
      </w:r>
      <w:r w:rsidRPr="008D2E20">
        <w:rPr>
          <w:rFonts w:ascii="Times New Roman" w:hAnsi="Times New Roman" w:cs="Times New Roman"/>
          <w:sz w:val="24"/>
          <w:szCs w:val="24"/>
          <w:shd w:val="clear" w:color="auto" w:fill="FFFFFF"/>
        </w:rPr>
        <w:t>Alsulaimani</w:t>
      </w:r>
      <w:r w:rsidRPr="008D2E20">
        <w:rPr>
          <w:rFonts w:ascii="Times New Roman" w:hAnsi="Times New Roman" w:cs="Times New Roman"/>
          <w:sz w:val="24"/>
          <w:szCs w:val="24"/>
          <w:shd w:val="clear" w:color="auto" w:fill="FFFFFF"/>
        </w:rPr>
        <w:t xml:space="preserve">, A.A., </w:t>
      </w:r>
      <w:r w:rsidRPr="008D2E20">
        <w:rPr>
          <w:rFonts w:ascii="Times New Roman" w:hAnsi="Times New Roman" w:cs="Times New Roman"/>
          <w:sz w:val="24"/>
          <w:szCs w:val="24"/>
          <w:shd w:val="clear" w:color="auto" w:fill="FFFFFF"/>
        </w:rPr>
        <w:t>Allamnakhrah</w:t>
      </w:r>
      <w:r w:rsidRPr="008D2E20">
        <w:rPr>
          <w:rFonts w:ascii="Times New Roman" w:hAnsi="Times New Roman" w:cs="Times New Roman"/>
          <w:sz w:val="24"/>
          <w:szCs w:val="24"/>
          <w:shd w:val="clear" w:color="auto" w:fill="FFFFFF"/>
        </w:rPr>
        <w:t xml:space="preserve">, A., </w:t>
      </w:r>
      <w:r w:rsidRPr="008D2E20">
        <w:rPr>
          <w:rFonts w:ascii="Times New Roman" w:hAnsi="Times New Roman" w:cs="Times New Roman"/>
          <w:sz w:val="24"/>
          <w:szCs w:val="24"/>
          <w:shd w:val="clear" w:color="auto" w:fill="FFFFFF"/>
        </w:rPr>
        <w:t>Alalwan</w:t>
      </w:r>
      <w:r w:rsidRPr="008D2E20">
        <w:rPr>
          <w:rFonts w:ascii="Times New Roman" w:hAnsi="Times New Roman" w:cs="Times New Roman"/>
          <w:sz w:val="24"/>
          <w:szCs w:val="24"/>
          <w:shd w:val="clear" w:color="auto" w:fill="FFFFFF"/>
        </w:rPr>
        <w:t xml:space="preserve">, A.A., Dwivedi, Y.K. and Rana, N.P., 2022. Usage of augmented reality (AR) and development of e-learning outcomes: An empirical evaluation of </w:t>
      </w:r>
      <w:r w:rsidRPr="008D2E20">
        <w:rPr>
          <w:rFonts w:ascii="Times New Roman" w:hAnsi="Times New Roman" w:cs="Times New Roman"/>
          <w:sz w:val="24"/>
          <w:szCs w:val="24"/>
          <w:shd w:val="clear" w:color="auto" w:fill="FFFFFF"/>
        </w:rPr>
        <w:t>the students</w:t>
      </w:r>
      <w:r w:rsidRPr="008D2E20">
        <w:rPr>
          <w:rFonts w:ascii="Times New Roman" w:hAnsi="Times New Roman" w:cs="Times New Roman"/>
          <w:sz w:val="24"/>
          <w:szCs w:val="24"/>
          <w:shd w:val="clear" w:color="auto" w:fill="FFFFFF"/>
        </w:rPr>
        <w:t>-learning experience. </w:t>
      </w:r>
      <w:r w:rsidRPr="008D2E20">
        <w:rPr>
          <w:rFonts w:ascii="Times New Roman" w:hAnsi="Times New Roman" w:cs="Times New Roman"/>
          <w:i/>
          <w:iCs/>
          <w:sz w:val="24"/>
          <w:szCs w:val="24"/>
          <w:shd w:val="clear" w:color="auto" w:fill="FFFFFF"/>
        </w:rPr>
        <w:t>Computers &amp; Education</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177</w:t>
      </w:r>
      <w:r w:rsidRPr="008D2E20">
        <w:rPr>
          <w:rFonts w:ascii="Times New Roman" w:hAnsi="Times New Roman" w:cs="Times New Roman"/>
          <w:sz w:val="24"/>
          <w:szCs w:val="24"/>
          <w:shd w:val="clear" w:color="auto" w:fill="FFFFFF"/>
        </w:rPr>
        <w:t>, p.104383.</w:t>
      </w:r>
    </w:p>
    <w:p w:rsidR="00733E73" w:rsidRPr="008D2E20" w:rsidP="00733E73" w14:paraId="12CB8602"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Byrne, Z.S., 2022. </w:t>
      </w:r>
      <w:r w:rsidRPr="008D2E20">
        <w:rPr>
          <w:rFonts w:ascii="Times New Roman" w:hAnsi="Times New Roman" w:cs="Times New Roman"/>
          <w:i/>
          <w:iCs/>
          <w:sz w:val="24"/>
          <w:szCs w:val="24"/>
          <w:shd w:val="clear" w:color="auto" w:fill="FFFFFF"/>
        </w:rPr>
        <w:t>Understanding employee engagement: Theory, research, and practice</w:t>
      </w:r>
      <w:r w:rsidRPr="008D2E20">
        <w:rPr>
          <w:rFonts w:ascii="Times New Roman" w:hAnsi="Times New Roman" w:cs="Times New Roman"/>
          <w:sz w:val="24"/>
          <w:szCs w:val="24"/>
          <w:shd w:val="clear" w:color="auto" w:fill="FFFFFF"/>
        </w:rPr>
        <w:t>. Routledge.</w:t>
      </w:r>
    </w:p>
    <w:p w:rsidR="00733E73" w:rsidRPr="00733E73" w:rsidP="00733E73" w14:paraId="24E0AC55"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 xml:space="preserve">Callender, G. (2001). Public Sector Organizations. Elsevier eBooks, [online] pp.12581–12585. </w:t>
      </w:r>
      <w:r w:rsidRPr="00733E73">
        <w:rPr>
          <w:rFonts w:ascii="Times New Roman" w:hAnsi="Times New Roman" w:cs="Times New Roman"/>
          <w:sz w:val="24"/>
          <w:szCs w:val="24"/>
          <w:shd w:val="clear" w:color="auto" w:fill="FFFFFF"/>
        </w:rPr>
        <w:t>doi:https</w:t>
      </w:r>
      <w:r w:rsidRPr="00733E73">
        <w:rPr>
          <w:rFonts w:ascii="Times New Roman" w:hAnsi="Times New Roman" w:cs="Times New Roman"/>
          <w:sz w:val="24"/>
          <w:szCs w:val="24"/>
          <w:shd w:val="clear" w:color="auto" w:fill="FFFFFF"/>
        </w:rPr>
        <w:t>://doi.org/10.1016/b0-08-043076-7/04253-4</w:t>
      </w:r>
      <w:r w:rsidRPr="00733E73">
        <w:rPr>
          <w:rFonts w:ascii="Times New Roman" w:hAnsi="Times New Roman" w:cs="Times New Roman"/>
          <w:sz w:val="24"/>
          <w:szCs w:val="24"/>
          <w:shd w:val="clear" w:color="auto" w:fill="FFFFFF"/>
        </w:rPr>
        <w:t>.</w:t>
      </w:r>
    </w:p>
    <w:p w:rsidR="00733E73" w:rsidRPr="008D2E20" w:rsidP="00733E73" w14:paraId="5A3FF5CB"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Cappelli, P., 2023. </w:t>
      </w:r>
      <w:r w:rsidRPr="008D2E20">
        <w:rPr>
          <w:rFonts w:ascii="Times New Roman" w:hAnsi="Times New Roman" w:cs="Times New Roman"/>
          <w:i/>
          <w:iCs/>
          <w:sz w:val="24"/>
          <w:szCs w:val="24"/>
          <w:shd w:val="clear" w:color="auto" w:fill="FFFFFF"/>
        </w:rPr>
        <w:t>Our Least Important Asset: Why the Relentless Focus on Finance and Accounting is Bad for Business and Employees</w:t>
      </w:r>
      <w:r w:rsidRPr="008D2E20">
        <w:rPr>
          <w:rFonts w:ascii="Times New Roman" w:hAnsi="Times New Roman" w:cs="Times New Roman"/>
          <w:sz w:val="24"/>
          <w:szCs w:val="24"/>
          <w:shd w:val="clear" w:color="auto" w:fill="FFFFFF"/>
        </w:rPr>
        <w:t>. Oxford University Press.</w:t>
      </w:r>
    </w:p>
    <w:p w:rsidR="00733E73" w:rsidRPr="00161EA3" w:rsidP="00733E73" w14:paraId="62C5606F"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 xml:space="preserve">Chen, Z. (2023). Ethics and discrimination in artificial intelligence-enabled recruitment practices. Humanities and Social Sciences Communications, [online] 10(1). </w:t>
      </w:r>
      <w:r w:rsidRPr="00161EA3">
        <w:rPr>
          <w:rFonts w:ascii="Times New Roman" w:hAnsi="Times New Roman" w:cs="Times New Roman"/>
          <w:sz w:val="24"/>
          <w:szCs w:val="24"/>
        </w:rPr>
        <w:t>doi:https</w:t>
      </w:r>
      <w:r w:rsidRPr="00161EA3">
        <w:rPr>
          <w:rFonts w:ascii="Times New Roman" w:hAnsi="Times New Roman" w:cs="Times New Roman"/>
          <w:sz w:val="24"/>
          <w:szCs w:val="24"/>
        </w:rPr>
        <w:t>://doi.org/10.1057/s41599-023-02079-x</w:t>
      </w:r>
      <w:r w:rsidRPr="00161EA3">
        <w:rPr>
          <w:rFonts w:ascii="Times New Roman" w:hAnsi="Times New Roman" w:cs="Times New Roman"/>
          <w:sz w:val="24"/>
          <w:szCs w:val="24"/>
        </w:rPr>
        <w:t>.</w:t>
      </w:r>
    </w:p>
    <w:p w:rsidR="00733E73" w:rsidRPr="00161EA3" w:rsidP="00733E73" w14:paraId="49116D8C"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 xml:space="preserve">Corvello, V. (2025). Generative AI and the future of innovation management: A human centered perspective and an agenda for future research. Journal of Open Innovation: Technology, Market, and Complexity, [online] 11(1), p.100456. </w:t>
      </w:r>
      <w:r w:rsidRPr="00161EA3">
        <w:rPr>
          <w:rFonts w:ascii="Times New Roman" w:hAnsi="Times New Roman" w:cs="Times New Roman"/>
          <w:sz w:val="24"/>
          <w:szCs w:val="24"/>
        </w:rPr>
        <w:t>doi:https</w:t>
      </w:r>
      <w:r w:rsidRPr="00161EA3">
        <w:rPr>
          <w:rFonts w:ascii="Times New Roman" w:hAnsi="Times New Roman" w:cs="Times New Roman"/>
          <w:sz w:val="24"/>
          <w:szCs w:val="24"/>
        </w:rPr>
        <w:t>://doi.org/10.1016/j.joitmc.2024.100456</w:t>
      </w:r>
      <w:r w:rsidRPr="00161EA3">
        <w:rPr>
          <w:rFonts w:ascii="Times New Roman" w:hAnsi="Times New Roman" w:cs="Times New Roman"/>
          <w:sz w:val="24"/>
          <w:szCs w:val="24"/>
        </w:rPr>
        <w:t>.</w:t>
      </w:r>
    </w:p>
    <w:p w:rsidR="00733E73" w:rsidRPr="008D2E20" w:rsidP="00733E73" w14:paraId="3CA46AED"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rPr>
        <w:t>Damsten</w:t>
      </w:r>
      <w:r w:rsidRPr="008D2E20">
        <w:rPr>
          <w:rFonts w:ascii="Times New Roman" w:hAnsi="Times New Roman" w:cs="Times New Roman"/>
          <w:sz w:val="24"/>
          <w:szCs w:val="24"/>
        </w:rPr>
        <w:t>, E. (2023). </w:t>
      </w:r>
      <w:r w:rsidRPr="008D2E20">
        <w:rPr>
          <w:rFonts w:ascii="Times New Roman" w:hAnsi="Times New Roman" w:cs="Times New Roman"/>
          <w:i/>
          <w:iCs/>
          <w:sz w:val="24"/>
          <w:szCs w:val="24"/>
        </w:rPr>
        <w:t>Understanding the Evolution of HRM: From Personnel Management to Strategic HR</w:t>
      </w:r>
      <w:r w:rsidRPr="008D2E20">
        <w:rPr>
          <w:rFonts w:ascii="Times New Roman" w:hAnsi="Times New Roman" w:cs="Times New Roman"/>
          <w:sz w:val="24"/>
          <w:szCs w:val="24"/>
        </w:rPr>
        <w:t xml:space="preserve">. [online] </w:t>
      </w:r>
      <w:r w:rsidRPr="008D2E20">
        <w:rPr>
          <w:rFonts w:ascii="Times New Roman" w:hAnsi="Times New Roman" w:cs="Times New Roman"/>
          <w:sz w:val="24"/>
          <w:szCs w:val="24"/>
        </w:rPr>
        <w:t>Omnitas</w:t>
      </w:r>
      <w:r w:rsidRPr="008D2E20">
        <w:rPr>
          <w:rFonts w:ascii="Times New Roman" w:hAnsi="Times New Roman" w:cs="Times New Roman"/>
          <w:sz w:val="24"/>
          <w:szCs w:val="24"/>
        </w:rPr>
        <w:t xml:space="preserve"> Consulting. Available at: </w:t>
      </w:r>
      <w:hyperlink r:id="rId6" w:history="1">
        <w:r w:rsidRPr="008D2E20">
          <w:rPr>
            <w:rStyle w:val="Hyperlink"/>
            <w:rFonts w:ascii="Times New Roman" w:hAnsi="Times New Roman" w:cs="Times New Roman"/>
            <w:sz w:val="24"/>
            <w:szCs w:val="24"/>
          </w:rPr>
          <w:t>https://www.omnitas.com/understanding-the-evolution-of-hrm-from-personnel-management-to-strategic-hr/</w:t>
        </w:r>
      </w:hyperlink>
    </w:p>
    <w:p w:rsidR="00733E73" w:rsidRPr="008D2E20" w:rsidP="00733E73" w14:paraId="0AA6E27D"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 xml:space="preserve">De </w:t>
      </w:r>
      <w:r w:rsidRPr="008D2E20">
        <w:rPr>
          <w:rFonts w:ascii="Times New Roman" w:hAnsi="Times New Roman" w:cs="Times New Roman"/>
          <w:sz w:val="24"/>
          <w:szCs w:val="24"/>
          <w:shd w:val="clear" w:color="auto" w:fill="FFFFFF"/>
        </w:rPr>
        <w:t>Vaujany</w:t>
      </w:r>
      <w:r w:rsidRPr="008D2E20">
        <w:rPr>
          <w:rFonts w:ascii="Times New Roman" w:hAnsi="Times New Roman" w:cs="Times New Roman"/>
          <w:sz w:val="24"/>
          <w:szCs w:val="24"/>
          <w:shd w:val="clear" w:color="auto" w:fill="FFFFFF"/>
        </w:rPr>
        <w:t>, F.X., Leclercq-</w:t>
      </w:r>
      <w:r w:rsidRPr="008D2E20">
        <w:rPr>
          <w:rFonts w:ascii="Times New Roman" w:hAnsi="Times New Roman" w:cs="Times New Roman"/>
          <w:sz w:val="24"/>
          <w:szCs w:val="24"/>
          <w:shd w:val="clear" w:color="auto" w:fill="FFFFFF"/>
        </w:rPr>
        <w:t>Vandelannoitte</w:t>
      </w:r>
      <w:r w:rsidRPr="008D2E20">
        <w:rPr>
          <w:rFonts w:ascii="Times New Roman" w:hAnsi="Times New Roman" w:cs="Times New Roman"/>
          <w:sz w:val="24"/>
          <w:szCs w:val="24"/>
          <w:shd w:val="clear" w:color="auto" w:fill="FFFFFF"/>
        </w:rPr>
        <w:t>, A., Munro, I., Nama, Y. and Holt, R., 2021. Control and surveillance in work practice: Cultivating paradox in ‘</w:t>
      </w:r>
      <w:r w:rsidRPr="008D2E20">
        <w:rPr>
          <w:rFonts w:ascii="Times New Roman" w:hAnsi="Times New Roman" w:cs="Times New Roman"/>
          <w:sz w:val="24"/>
          <w:szCs w:val="24"/>
          <w:shd w:val="clear" w:color="auto" w:fill="FFFFFF"/>
        </w:rPr>
        <w:t>new’modes</w:t>
      </w:r>
      <w:r w:rsidRPr="008D2E20">
        <w:rPr>
          <w:rFonts w:ascii="Times New Roman" w:hAnsi="Times New Roman" w:cs="Times New Roman"/>
          <w:sz w:val="24"/>
          <w:szCs w:val="24"/>
          <w:shd w:val="clear" w:color="auto" w:fill="FFFFFF"/>
        </w:rPr>
        <w:t xml:space="preserve"> of organizing. </w:t>
      </w:r>
      <w:r w:rsidRPr="008D2E20">
        <w:rPr>
          <w:rFonts w:ascii="Times New Roman" w:hAnsi="Times New Roman" w:cs="Times New Roman"/>
          <w:i/>
          <w:iCs/>
          <w:sz w:val="24"/>
          <w:szCs w:val="24"/>
          <w:shd w:val="clear" w:color="auto" w:fill="FFFFFF"/>
        </w:rPr>
        <w:t>Organization Studies</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42</w:t>
      </w:r>
      <w:r w:rsidRPr="008D2E20">
        <w:rPr>
          <w:rFonts w:ascii="Times New Roman" w:hAnsi="Times New Roman" w:cs="Times New Roman"/>
          <w:sz w:val="24"/>
          <w:szCs w:val="24"/>
          <w:shd w:val="clear" w:color="auto" w:fill="FFFFFF"/>
        </w:rPr>
        <w:t>(5), pp.675-695.</w:t>
      </w:r>
    </w:p>
    <w:p w:rsidR="00733E73" w:rsidRPr="00161EA3" w:rsidP="00733E73" w14:paraId="3F4B8776"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 xml:space="preserve">Dwivedi, Y.K., </w:t>
      </w:r>
      <w:r w:rsidRPr="00161EA3">
        <w:rPr>
          <w:rFonts w:ascii="Times New Roman" w:hAnsi="Times New Roman" w:cs="Times New Roman"/>
          <w:sz w:val="24"/>
          <w:szCs w:val="24"/>
        </w:rPr>
        <w:t>Kshetri</w:t>
      </w:r>
      <w:r w:rsidRPr="00161EA3">
        <w:rPr>
          <w:rFonts w:ascii="Times New Roman" w:hAnsi="Times New Roman" w:cs="Times New Roman"/>
          <w:sz w:val="24"/>
          <w:szCs w:val="24"/>
        </w:rPr>
        <w:t xml:space="preserve">, N., Hughes, L., Slade, E.L., Jeyaraj, A., Kar, A.K., </w:t>
      </w:r>
      <w:r w:rsidRPr="00161EA3">
        <w:rPr>
          <w:rFonts w:ascii="Times New Roman" w:hAnsi="Times New Roman" w:cs="Times New Roman"/>
          <w:sz w:val="24"/>
          <w:szCs w:val="24"/>
        </w:rPr>
        <w:t>Baabdullah</w:t>
      </w:r>
      <w:r w:rsidRPr="00161EA3">
        <w:rPr>
          <w:rFonts w:ascii="Times New Roman" w:hAnsi="Times New Roman" w:cs="Times New Roman"/>
          <w:sz w:val="24"/>
          <w:szCs w:val="24"/>
        </w:rPr>
        <w:t xml:space="preserve">, A.M., </w:t>
      </w:r>
      <w:r w:rsidRPr="00161EA3">
        <w:rPr>
          <w:rFonts w:ascii="Times New Roman" w:hAnsi="Times New Roman" w:cs="Times New Roman"/>
          <w:sz w:val="24"/>
          <w:szCs w:val="24"/>
        </w:rPr>
        <w:t>Koohang</w:t>
      </w:r>
      <w:r w:rsidRPr="00161EA3">
        <w:rPr>
          <w:rFonts w:ascii="Times New Roman" w:hAnsi="Times New Roman" w:cs="Times New Roman"/>
          <w:sz w:val="24"/>
          <w:szCs w:val="24"/>
        </w:rPr>
        <w:t xml:space="preserve">, A., Raghavan, V., Ahuja, M., Albanna, H., </w:t>
      </w:r>
      <w:r w:rsidRPr="00161EA3">
        <w:rPr>
          <w:rFonts w:ascii="Times New Roman" w:hAnsi="Times New Roman" w:cs="Times New Roman"/>
          <w:sz w:val="24"/>
          <w:szCs w:val="24"/>
        </w:rPr>
        <w:t>Albashrawi</w:t>
      </w:r>
      <w:r w:rsidRPr="00161EA3">
        <w:rPr>
          <w:rFonts w:ascii="Times New Roman" w:hAnsi="Times New Roman" w:cs="Times New Roman"/>
          <w:sz w:val="24"/>
          <w:szCs w:val="24"/>
        </w:rPr>
        <w:t>, M.A., Al-</w:t>
      </w:r>
      <w:r w:rsidRPr="00161EA3">
        <w:rPr>
          <w:rFonts w:ascii="Times New Roman" w:hAnsi="Times New Roman" w:cs="Times New Roman"/>
          <w:sz w:val="24"/>
          <w:szCs w:val="24"/>
        </w:rPr>
        <w:t>Busaidi</w:t>
      </w:r>
      <w:r w:rsidRPr="00161EA3">
        <w:rPr>
          <w:rFonts w:ascii="Times New Roman" w:hAnsi="Times New Roman" w:cs="Times New Roman"/>
          <w:sz w:val="24"/>
          <w:szCs w:val="24"/>
        </w:rPr>
        <w:t xml:space="preserve">, A.S., Balakrishnan, J., Barlette, Y., Basu, S., Bose, I., Brooks, L., </w:t>
      </w:r>
      <w:r w:rsidRPr="00161EA3">
        <w:rPr>
          <w:rFonts w:ascii="Times New Roman" w:hAnsi="Times New Roman" w:cs="Times New Roman"/>
          <w:sz w:val="24"/>
          <w:szCs w:val="24"/>
        </w:rPr>
        <w:t>Buhalis</w:t>
      </w:r>
      <w:r w:rsidRPr="00161EA3">
        <w:rPr>
          <w:rFonts w:ascii="Times New Roman" w:hAnsi="Times New Roman" w:cs="Times New Roman"/>
          <w:sz w:val="24"/>
          <w:szCs w:val="24"/>
        </w:rPr>
        <w:t xml:space="preserve">, D. and Carter, L. (2023). Opinion Paper: ‘So what if ChatGPT wrote it?’ Multidisciplinary perspectives on opportunities, challenges and implications of generative conversational AI for research, practice and policy. International Journal of Information Management, [online] 71, p.102642. </w:t>
      </w:r>
      <w:r w:rsidRPr="00161EA3">
        <w:rPr>
          <w:rFonts w:ascii="Times New Roman" w:hAnsi="Times New Roman" w:cs="Times New Roman"/>
          <w:sz w:val="24"/>
          <w:szCs w:val="24"/>
        </w:rPr>
        <w:t>doi:https</w:t>
      </w:r>
      <w:r w:rsidRPr="00161EA3">
        <w:rPr>
          <w:rFonts w:ascii="Times New Roman" w:hAnsi="Times New Roman" w:cs="Times New Roman"/>
          <w:sz w:val="24"/>
          <w:szCs w:val="24"/>
        </w:rPr>
        <w:t>://doi.org/10.1016/j.ijinfomgt.2023.102642</w:t>
      </w:r>
      <w:r w:rsidRPr="00161EA3">
        <w:rPr>
          <w:rFonts w:ascii="Times New Roman" w:hAnsi="Times New Roman" w:cs="Times New Roman"/>
          <w:sz w:val="24"/>
          <w:szCs w:val="24"/>
        </w:rPr>
        <w:t>.</w:t>
      </w:r>
    </w:p>
    <w:p w:rsidR="00733E73" w:rsidRPr="00161EA3" w:rsidP="00733E73" w14:paraId="4F98A098"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 xml:space="preserve">El-Ghoul, M., </w:t>
      </w:r>
      <w:r w:rsidRPr="00161EA3">
        <w:rPr>
          <w:rFonts w:ascii="Times New Roman" w:hAnsi="Times New Roman" w:cs="Times New Roman"/>
          <w:sz w:val="24"/>
          <w:szCs w:val="24"/>
        </w:rPr>
        <w:t>Almassri</w:t>
      </w:r>
      <w:r w:rsidRPr="00161EA3">
        <w:rPr>
          <w:rFonts w:ascii="Times New Roman" w:hAnsi="Times New Roman" w:cs="Times New Roman"/>
          <w:sz w:val="24"/>
          <w:szCs w:val="24"/>
        </w:rPr>
        <w:t xml:space="preserve">, M., El-Habibi, M., Al-Qadi, M., </w:t>
      </w:r>
      <w:r w:rsidRPr="00161EA3">
        <w:rPr>
          <w:rFonts w:ascii="Times New Roman" w:hAnsi="Times New Roman" w:cs="Times New Roman"/>
          <w:sz w:val="24"/>
          <w:szCs w:val="24"/>
        </w:rPr>
        <w:t>Eloun</w:t>
      </w:r>
      <w:r w:rsidRPr="00161EA3">
        <w:rPr>
          <w:rFonts w:ascii="Times New Roman" w:hAnsi="Times New Roman" w:cs="Times New Roman"/>
          <w:sz w:val="24"/>
          <w:szCs w:val="24"/>
        </w:rPr>
        <w:t>, A., Abu-Nasser, B. and Abu-Naser, S. (2024). 6 AI in HRM: Revolutionizing Recruitment, Performance Management, and Employee Engagement. International Journal of Academic and Applied Research (IJAAR), [online] 8, pp.16–23. Available at: https://philarchive.org/archive/ELGAIH.</w:t>
      </w:r>
    </w:p>
    <w:p w:rsidR="00733E73" w:rsidRPr="008D2E20" w:rsidP="00733E73" w14:paraId="2D55C22F"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rPr>
        <w:t>‌</w:t>
      </w:r>
      <w:r w:rsidRPr="008D2E20">
        <w:rPr>
          <w:rFonts w:ascii="Times New Roman" w:hAnsi="Times New Roman" w:cs="Times New Roman"/>
          <w:sz w:val="24"/>
          <w:szCs w:val="24"/>
          <w:shd w:val="clear" w:color="auto" w:fill="FFFFFF"/>
        </w:rPr>
        <w:t xml:space="preserve">Friedman, L.M. and </w:t>
      </w:r>
      <w:r w:rsidRPr="008D2E20">
        <w:rPr>
          <w:rFonts w:ascii="Times New Roman" w:hAnsi="Times New Roman" w:cs="Times New Roman"/>
          <w:sz w:val="24"/>
          <w:szCs w:val="24"/>
          <w:shd w:val="clear" w:color="auto" w:fill="FFFFFF"/>
        </w:rPr>
        <w:t>Ladinsky</w:t>
      </w:r>
      <w:r w:rsidRPr="008D2E20">
        <w:rPr>
          <w:rFonts w:ascii="Times New Roman" w:hAnsi="Times New Roman" w:cs="Times New Roman"/>
          <w:sz w:val="24"/>
          <w:szCs w:val="24"/>
          <w:shd w:val="clear" w:color="auto" w:fill="FFFFFF"/>
        </w:rPr>
        <w:t>, J., 2021. Social change and the law of industrial accidents. In </w:t>
      </w:r>
      <w:r w:rsidRPr="008D2E20">
        <w:rPr>
          <w:rFonts w:ascii="Times New Roman" w:hAnsi="Times New Roman" w:cs="Times New Roman"/>
          <w:i/>
          <w:iCs/>
          <w:sz w:val="24"/>
          <w:szCs w:val="24"/>
          <w:shd w:val="clear" w:color="auto" w:fill="FFFFFF"/>
        </w:rPr>
        <w:t>Governing Risks</w:t>
      </w:r>
      <w:r w:rsidRPr="008D2E20">
        <w:rPr>
          <w:rFonts w:ascii="Times New Roman" w:hAnsi="Times New Roman" w:cs="Times New Roman"/>
          <w:sz w:val="24"/>
          <w:szCs w:val="24"/>
          <w:shd w:val="clear" w:color="auto" w:fill="FFFFFF"/>
        </w:rPr>
        <w:t> (pp. 127-159). Routledge.</w:t>
      </w:r>
    </w:p>
    <w:p w:rsidR="00733E73" w:rsidP="00733E73" w14:paraId="4E074C2E"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 xml:space="preserve">Gautam, P.K. and Gautam, R.R. (2023). Organizational Culture Orientation and Union Influence. Management Dynamics, 26(1), pp.43–55. </w:t>
      </w:r>
      <w:r w:rsidRPr="00733E73">
        <w:rPr>
          <w:rFonts w:ascii="Times New Roman" w:hAnsi="Times New Roman" w:cs="Times New Roman"/>
          <w:sz w:val="24"/>
          <w:szCs w:val="24"/>
          <w:shd w:val="clear" w:color="auto" w:fill="FFFFFF"/>
        </w:rPr>
        <w:t>doi:https</w:t>
      </w:r>
      <w:r w:rsidRPr="00733E73">
        <w:rPr>
          <w:rFonts w:ascii="Times New Roman" w:hAnsi="Times New Roman" w:cs="Times New Roman"/>
          <w:sz w:val="24"/>
          <w:szCs w:val="24"/>
          <w:shd w:val="clear" w:color="auto" w:fill="FFFFFF"/>
        </w:rPr>
        <w:t>://doi.org/10.3126/md.v26i1.59150</w:t>
      </w:r>
      <w:r w:rsidRPr="00733E73">
        <w:rPr>
          <w:rFonts w:ascii="Times New Roman" w:hAnsi="Times New Roman" w:cs="Times New Roman"/>
          <w:sz w:val="24"/>
          <w:szCs w:val="24"/>
          <w:shd w:val="clear" w:color="auto" w:fill="FFFFFF"/>
        </w:rPr>
        <w:t>.</w:t>
      </w:r>
    </w:p>
    <w:p w:rsidR="00733E73" w:rsidRPr="008D2E20" w:rsidP="00733E73" w14:paraId="09026904"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Godbless</w:t>
      </w:r>
      <w:r w:rsidRPr="008D2E20">
        <w:rPr>
          <w:rFonts w:ascii="Times New Roman" w:hAnsi="Times New Roman" w:cs="Times New Roman"/>
          <w:sz w:val="24"/>
          <w:szCs w:val="24"/>
          <w:shd w:val="clear" w:color="auto" w:fill="FFFFFF"/>
        </w:rPr>
        <w:t>, E.E., 2021. Moral leadership, shared values, employee engagement, and staff job performance in the university value chain. </w:t>
      </w:r>
      <w:r w:rsidRPr="008D2E20">
        <w:rPr>
          <w:rFonts w:ascii="Times New Roman" w:hAnsi="Times New Roman" w:cs="Times New Roman"/>
          <w:i/>
          <w:iCs/>
          <w:sz w:val="24"/>
          <w:szCs w:val="24"/>
          <w:shd w:val="clear" w:color="auto" w:fill="FFFFFF"/>
        </w:rPr>
        <w:t>International Journal of Organizational Leadership</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10</w:t>
      </w:r>
      <w:r w:rsidRPr="008D2E20">
        <w:rPr>
          <w:rFonts w:ascii="Times New Roman" w:hAnsi="Times New Roman" w:cs="Times New Roman"/>
          <w:sz w:val="24"/>
          <w:szCs w:val="24"/>
          <w:shd w:val="clear" w:color="auto" w:fill="FFFFFF"/>
        </w:rPr>
        <w:t>(1).</w:t>
      </w:r>
    </w:p>
    <w:p w:rsidR="00733E73" w:rsidRPr="00733E73" w:rsidP="00733E73" w14:paraId="3C836BEF"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 xml:space="preserve">Hagedorn, J., Paras, C.A., Greenwich, H. and Hagopian, A. (2016). The Role of Labor Unions in Creating Working Conditions That Promote Public Health. American Journal of Public Health, [online] 106(6), pp.989–995. </w:t>
      </w:r>
      <w:r w:rsidRPr="00733E73">
        <w:rPr>
          <w:rFonts w:ascii="Times New Roman" w:hAnsi="Times New Roman" w:cs="Times New Roman"/>
          <w:sz w:val="24"/>
          <w:szCs w:val="24"/>
          <w:shd w:val="clear" w:color="auto" w:fill="FFFFFF"/>
        </w:rPr>
        <w:t>doi:https</w:t>
      </w:r>
      <w:r w:rsidRPr="00733E73">
        <w:rPr>
          <w:rFonts w:ascii="Times New Roman" w:hAnsi="Times New Roman" w:cs="Times New Roman"/>
          <w:sz w:val="24"/>
          <w:szCs w:val="24"/>
          <w:shd w:val="clear" w:color="auto" w:fill="FFFFFF"/>
        </w:rPr>
        <w:t>://doi.org/10.2105/ajph.2016.303138</w:t>
      </w:r>
      <w:r w:rsidRPr="00733E73">
        <w:rPr>
          <w:rFonts w:ascii="Times New Roman" w:hAnsi="Times New Roman" w:cs="Times New Roman"/>
          <w:sz w:val="24"/>
          <w:szCs w:val="24"/>
          <w:shd w:val="clear" w:color="auto" w:fill="FFFFFF"/>
        </w:rPr>
        <w:t>.</w:t>
      </w:r>
    </w:p>
    <w:p w:rsidR="00733E73" w:rsidRPr="00161EA3" w:rsidP="00733E73" w14:paraId="18D0937B"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 xml:space="preserve">Haleem, A., Javaid, M., Qadri, M.A., Singh, R.P. and Suman, R. (2022). Artificial intelligence (AI) applications for marketing: A literature-based study. International Journal of Intelligent Networks, [online] 3, pp.119–132. </w:t>
      </w:r>
      <w:r w:rsidRPr="00161EA3">
        <w:rPr>
          <w:rFonts w:ascii="Times New Roman" w:hAnsi="Times New Roman" w:cs="Times New Roman"/>
          <w:sz w:val="24"/>
          <w:szCs w:val="24"/>
        </w:rPr>
        <w:t>doi:https</w:t>
      </w:r>
      <w:r w:rsidRPr="00161EA3">
        <w:rPr>
          <w:rFonts w:ascii="Times New Roman" w:hAnsi="Times New Roman" w:cs="Times New Roman"/>
          <w:sz w:val="24"/>
          <w:szCs w:val="24"/>
        </w:rPr>
        <w:t>://doi.org/10.1016/j.ijin.2022.08.005</w:t>
      </w:r>
      <w:r w:rsidRPr="00161EA3">
        <w:rPr>
          <w:rFonts w:ascii="Times New Roman" w:hAnsi="Times New Roman" w:cs="Times New Roman"/>
          <w:sz w:val="24"/>
          <w:szCs w:val="24"/>
        </w:rPr>
        <w:t>.</w:t>
      </w:r>
    </w:p>
    <w:p w:rsidR="00733E73" w:rsidRPr="008D2E20" w:rsidP="00733E73" w14:paraId="14B69F7E"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Holbeche</w:t>
      </w:r>
      <w:r w:rsidRPr="008D2E20">
        <w:rPr>
          <w:rFonts w:ascii="Times New Roman" w:hAnsi="Times New Roman" w:cs="Times New Roman"/>
          <w:sz w:val="24"/>
          <w:szCs w:val="24"/>
          <w:shd w:val="clear" w:color="auto" w:fill="FFFFFF"/>
        </w:rPr>
        <w:t>, L., 2022. </w:t>
      </w:r>
      <w:r w:rsidRPr="008D2E20">
        <w:rPr>
          <w:rFonts w:ascii="Times New Roman" w:hAnsi="Times New Roman" w:cs="Times New Roman"/>
          <w:i/>
          <w:iCs/>
          <w:sz w:val="24"/>
          <w:szCs w:val="24"/>
          <w:shd w:val="clear" w:color="auto" w:fill="FFFFFF"/>
        </w:rPr>
        <w:t>Aligning human resources and business strategy</w:t>
      </w:r>
      <w:r w:rsidRPr="008D2E20">
        <w:rPr>
          <w:rFonts w:ascii="Times New Roman" w:hAnsi="Times New Roman" w:cs="Times New Roman"/>
          <w:sz w:val="24"/>
          <w:szCs w:val="24"/>
          <w:shd w:val="clear" w:color="auto" w:fill="FFFFFF"/>
        </w:rPr>
        <w:t>. Routledge.</w:t>
      </w:r>
    </w:p>
    <w:p w:rsidR="00733E73" w:rsidRPr="008D2E20" w:rsidP="00733E73" w14:paraId="3D115507"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 xml:space="preserve">Jones, J. and Smith, H.A., 2022. A comparative study of formal coaching and mentoring </w:t>
      </w:r>
      <w:r w:rsidRPr="008D2E20">
        <w:rPr>
          <w:rFonts w:ascii="Times New Roman" w:hAnsi="Times New Roman" w:cs="Times New Roman"/>
          <w:sz w:val="24"/>
          <w:szCs w:val="24"/>
          <w:shd w:val="clear" w:color="auto" w:fill="FFFFFF"/>
        </w:rPr>
        <w:t>programmes</w:t>
      </w:r>
      <w:r w:rsidRPr="008D2E20">
        <w:rPr>
          <w:rFonts w:ascii="Times New Roman" w:hAnsi="Times New Roman" w:cs="Times New Roman"/>
          <w:sz w:val="24"/>
          <w:szCs w:val="24"/>
          <w:shd w:val="clear" w:color="auto" w:fill="FFFFFF"/>
        </w:rPr>
        <w:t xml:space="preserve"> in higher Education. </w:t>
      </w:r>
      <w:r w:rsidRPr="008D2E20">
        <w:rPr>
          <w:rFonts w:ascii="Times New Roman" w:hAnsi="Times New Roman" w:cs="Times New Roman"/>
          <w:i/>
          <w:iCs/>
          <w:sz w:val="24"/>
          <w:szCs w:val="24"/>
          <w:shd w:val="clear" w:color="auto" w:fill="FFFFFF"/>
        </w:rPr>
        <w:t>International Journal of Mentoring and Coaching in Education</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11</w:t>
      </w:r>
      <w:r w:rsidRPr="008D2E20">
        <w:rPr>
          <w:rFonts w:ascii="Times New Roman" w:hAnsi="Times New Roman" w:cs="Times New Roman"/>
          <w:sz w:val="24"/>
          <w:szCs w:val="24"/>
          <w:shd w:val="clear" w:color="auto" w:fill="FFFFFF"/>
        </w:rPr>
        <w:t>(2), pp.213-231.</w:t>
      </w:r>
    </w:p>
    <w:p w:rsidR="00733E73" w:rsidRPr="008D2E20" w:rsidP="00733E73" w14:paraId="5CF7C67B"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 xml:space="preserve">Joyce, P.R., Selvaraj, F.J., Manoharan, G., Priya, C., Vijayalakshmi, R., Dwivedi, P.K., Gupta, S. and Veerakumar, K., 2024. To Study </w:t>
      </w:r>
      <w:r w:rsidRPr="008D2E20">
        <w:rPr>
          <w:rFonts w:ascii="Times New Roman" w:hAnsi="Times New Roman" w:cs="Times New Roman"/>
          <w:sz w:val="24"/>
          <w:szCs w:val="24"/>
          <w:shd w:val="clear" w:color="auto" w:fill="FFFFFF"/>
        </w:rPr>
        <w:t>The</w:t>
      </w:r>
      <w:r w:rsidRPr="008D2E20">
        <w:rPr>
          <w:rFonts w:ascii="Times New Roman" w:hAnsi="Times New Roman" w:cs="Times New Roman"/>
          <w:sz w:val="24"/>
          <w:szCs w:val="24"/>
          <w:shd w:val="clear" w:color="auto" w:fill="FFFFFF"/>
        </w:rPr>
        <w:t xml:space="preserve"> Role Of Marketing In Human Resource Management. </w:t>
      </w:r>
      <w:r w:rsidRPr="008D2E20">
        <w:rPr>
          <w:rFonts w:ascii="Times New Roman" w:hAnsi="Times New Roman" w:cs="Times New Roman"/>
          <w:i/>
          <w:iCs/>
          <w:sz w:val="24"/>
          <w:szCs w:val="24"/>
          <w:shd w:val="clear" w:color="auto" w:fill="FFFFFF"/>
        </w:rPr>
        <w:t>Migration Letters: An International Journal of Migration Studies</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21</w:t>
      </w:r>
      <w:r w:rsidRPr="008D2E20">
        <w:rPr>
          <w:rFonts w:ascii="Times New Roman" w:hAnsi="Times New Roman" w:cs="Times New Roman"/>
          <w:sz w:val="24"/>
          <w:szCs w:val="24"/>
          <w:shd w:val="clear" w:color="auto" w:fill="FFFFFF"/>
        </w:rPr>
        <w:t>, pp.1191-1196.</w:t>
      </w:r>
    </w:p>
    <w:p w:rsidR="00733E73" w:rsidRPr="00733E73" w:rsidP="00733E73" w14:paraId="28864DD4"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 xml:space="preserve">Jurisch, Ikas, Wolf and Krcmar (2013). Key Differences of Private and Public Sector Business Process Change. e-Service Journal, [online] 9(1), p.3. </w:t>
      </w:r>
      <w:r w:rsidRPr="00733E73">
        <w:rPr>
          <w:rFonts w:ascii="Times New Roman" w:hAnsi="Times New Roman" w:cs="Times New Roman"/>
          <w:sz w:val="24"/>
          <w:szCs w:val="24"/>
          <w:shd w:val="clear" w:color="auto" w:fill="FFFFFF"/>
        </w:rPr>
        <w:t>doi:https</w:t>
      </w:r>
      <w:r w:rsidRPr="00733E73">
        <w:rPr>
          <w:rFonts w:ascii="Times New Roman" w:hAnsi="Times New Roman" w:cs="Times New Roman"/>
          <w:sz w:val="24"/>
          <w:szCs w:val="24"/>
          <w:shd w:val="clear" w:color="auto" w:fill="FFFFFF"/>
        </w:rPr>
        <w:t>://doi.org/10.2979/eservicej.9.1.3</w:t>
      </w:r>
      <w:r w:rsidRPr="00733E73">
        <w:rPr>
          <w:rFonts w:ascii="Times New Roman" w:hAnsi="Times New Roman" w:cs="Times New Roman"/>
          <w:sz w:val="24"/>
          <w:szCs w:val="24"/>
          <w:shd w:val="clear" w:color="auto" w:fill="FFFFFF"/>
        </w:rPr>
        <w:t>.</w:t>
      </w:r>
    </w:p>
    <w:p w:rsidR="00733E73" w:rsidRPr="008D2E20" w:rsidP="00733E73" w14:paraId="43647C22"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 xml:space="preserve">Kassa, A.G. and </w:t>
      </w:r>
      <w:r w:rsidRPr="008D2E20">
        <w:rPr>
          <w:rFonts w:ascii="Times New Roman" w:hAnsi="Times New Roman" w:cs="Times New Roman"/>
          <w:sz w:val="24"/>
          <w:szCs w:val="24"/>
          <w:shd w:val="clear" w:color="auto" w:fill="FFFFFF"/>
        </w:rPr>
        <w:t>Tsigu</w:t>
      </w:r>
      <w:r w:rsidRPr="008D2E20">
        <w:rPr>
          <w:rFonts w:ascii="Times New Roman" w:hAnsi="Times New Roman" w:cs="Times New Roman"/>
          <w:sz w:val="24"/>
          <w:szCs w:val="24"/>
          <w:shd w:val="clear" w:color="auto" w:fill="FFFFFF"/>
        </w:rPr>
        <w:t>, G.T., 2022. Corporate entrepreneurship, employee engagement and innovation: a resource-</w:t>
      </w:r>
      <w:r w:rsidRPr="008D2E20">
        <w:rPr>
          <w:rFonts w:ascii="Times New Roman" w:hAnsi="Times New Roman" w:cs="Times New Roman"/>
          <w:sz w:val="24"/>
          <w:szCs w:val="24"/>
          <w:shd w:val="clear" w:color="auto" w:fill="FFFFFF"/>
        </w:rPr>
        <w:t>basedview</w:t>
      </w:r>
      <w:r w:rsidRPr="008D2E20">
        <w:rPr>
          <w:rFonts w:ascii="Times New Roman" w:hAnsi="Times New Roman" w:cs="Times New Roman"/>
          <w:sz w:val="24"/>
          <w:szCs w:val="24"/>
          <w:shd w:val="clear" w:color="auto" w:fill="FFFFFF"/>
        </w:rPr>
        <w:t xml:space="preserve"> and a social </w:t>
      </w:r>
      <w:r w:rsidRPr="008D2E20">
        <w:rPr>
          <w:rFonts w:ascii="Times New Roman" w:hAnsi="Times New Roman" w:cs="Times New Roman"/>
          <w:sz w:val="24"/>
          <w:szCs w:val="24"/>
          <w:shd w:val="clear" w:color="auto" w:fill="FFFFFF"/>
        </w:rPr>
        <w:t>exchangetheory</w:t>
      </w:r>
      <w:r w:rsidRPr="008D2E20">
        <w:rPr>
          <w:rFonts w:ascii="Times New Roman" w:hAnsi="Times New Roman" w:cs="Times New Roman"/>
          <w:sz w:val="24"/>
          <w:szCs w:val="24"/>
          <w:shd w:val="clear" w:color="auto" w:fill="FFFFFF"/>
        </w:rPr>
        <w:t xml:space="preserve"> perspective. </w:t>
      </w:r>
      <w:r w:rsidRPr="008D2E20">
        <w:rPr>
          <w:rFonts w:ascii="Times New Roman" w:hAnsi="Times New Roman" w:cs="Times New Roman"/>
          <w:i/>
          <w:iCs/>
          <w:sz w:val="24"/>
          <w:szCs w:val="24"/>
          <w:shd w:val="clear" w:color="auto" w:fill="FFFFFF"/>
        </w:rPr>
        <w:t>International Journal of Organizational Analysis</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30</w:t>
      </w:r>
      <w:r w:rsidRPr="008D2E20">
        <w:rPr>
          <w:rFonts w:ascii="Times New Roman" w:hAnsi="Times New Roman" w:cs="Times New Roman"/>
          <w:sz w:val="24"/>
          <w:szCs w:val="24"/>
          <w:shd w:val="clear" w:color="auto" w:fill="FFFFFF"/>
        </w:rPr>
        <w:t>(6), pp.1694-1711.</w:t>
      </w:r>
    </w:p>
    <w:p w:rsidR="00733E73" w:rsidRPr="008D2E20" w:rsidP="00733E73" w14:paraId="00FAEE16"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 xml:space="preserve">Khan, M.I., </w:t>
      </w:r>
      <w:r w:rsidRPr="00161EA3">
        <w:rPr>
          <w:rFonts w:ascii="Times New Roman" w:hAnsi="Times New Roman" w:cs="Times New Roman"/>
          <w:sz w:val="24"/>
          <w:szCs w:val="24"/>
        </w:rPr>
        <w:t>Parahyanti</w:t>
      </w:r>
      <w:r w:rsidRPr="00161EA3">
        <w:rPr>
          <w:rFonts w:ascii="Times New Roman" w:hAnsi="Times New Roman" w:cs="Times New Roman"/>
          <w:sz w:val="24"/>
          <w:szCs w:val="24"/>
        </w:rPr>
        <w:t xml:space="preserve">, E. and Hussain, S. (2024). The Role Generative AI in Human Resource Management: Enhancing Operational Efficiency, Decision-Making, and Addressing Ethical Challenges. Asian Journal of Logistics Management, [online] 3(2), pp.104–125. </w:t>
      </w:r>
      <w:r w:rsidRPr="00161EA3">
        <w:rPr>
          <w:rFonts w:ascii="Times New Roman" w:hAnsi="Times New Roman" w:cs="Times New Roman"/>
          <w:sz w:val="24"/>
          <w:szCs w:val="24"/>
        </w:rPr>
        <w:t>doi:https</w:t>
      </w:r>
      <w:r w:rsidRPr="00161EA3">
        <w:rPr>
          <w:rFonts w:ascii="Times New Roman" w:hAnsi="Times New Roman" w:cs="Times New Roman"/>
          <w:sz w:val="24"/>
          <w:szCs w:val="24"/>
        </w:rPr>
        <w:t>://doi.org/10.14710/ajlm.2024.24671</w:t>
      </w:r>
      <w:r w:rsidRPr="00161EA3">
        <w:rPr>
          <w:rFonts w:ascii="Times New Roman" w:hAnsi="Times New Roman" w:cs="Times New Roman"/>
          <w:sz w:val="24"/>
          <w:szCs w:val="24"/>
        </w:rPr>
        <w:t>.</w:t>
      </w:r>
    </w:p>
    <w:p w:rsidR="00733E73" w:rsidRPr="008D2E20" w:rsidP="00733E73" w14:paraId="358C6B47"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Kolasani</w:t>
      </w:r>
      <w:r w:rsidRPr="008D2E20">
        <w:rPr>
          <w:rFonts w:ascii="Times New Roman" w:hAnsi="Times New Roman" w:cs="Times New Roman"/>
          <w:sz w:val="24"/>
          <w:szCs w:val="24"/>
          <w:shd w:val="clear" w:color="auto" w:fill="FFFFFF"/>
        </w:rPr>
        <w:t>, S., 2023. Innovations in digital, enterprise, cloud, data transformation, and organizational change management using agile, lean, and data-driven methodologies. </w:t>
      </w:r>
      <w:r w:rsidRPr="008D2E20">
        <w:rPr>
          <w:rFonts w:ascii="Times New Roman" w:hAnsi="Times New Roman" w:cs="Times New Roman"/>
          <w:i/>
          <w:iCs/>
          <w:sz w:val="24"/>
          <w:szCs w:val="24"/>
          <w:shd w:val="clear" w:color="auto" w:fill="FFFFFF"/>
        </w:rPr>
        <w:t>International Journal of Machine Learning and Artificial Intelligence</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4</w:t>
      </w:r>
      <w:r w:rsidRPr="008D2E20">
        <w:rPr>
          <w:rFonts w:ascii="Times New Roman" w:hAnsi="Times New Roman" w:cs="Times New Roman"/>
          <w:sz w:val="24"/>
          <w:szCs w:val="24"/>
          <w:shd w:val="clear" w:color="auto" w:fill="FFFFFF"/>
        </w:rPr>
        <w:t>(4), pp.1-18.</w:t>
      </w:r>
    </w:p>
    <w:p w:rsidR="00733E73" w:rsidRPr="008D2E20" w:rsidP="00733E73" w14:paraId="66FC5FDA"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Kumar, M., Saini, A. and Jeet, K., 2024. Sustaining mental health amidst high-pressure job scenarios: A narrative review. </w:t>
      </w:r>
      <w:r w:rsidRPr="008D2E20">
        <w:rPr>
          <w:rFonts w:ascii="Times New Roman" w:hAnsi="Times New Roman" w:cs="Times New Roman"/>
          <w:i/>
          <w:iCs/>
          <w:sz w:val="24"/>
          <w:szCs w:val="24"/>
          <w:shd w:val="clear" w:color="auto" w:fill="FFFFFF"/>
        </w:rPr>
        <w:t>International Journal of Community Medicine and Public Health</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11</w:t>
      </w:r>
      <w:r w:rsidRPr="008D2E20">
        <w:rPr>
          <w:rFonts w:ascii="Times New Roman" w:hAnsi="Times New Roman" w:cs="Times New Roman"/>
          <w:sz w:val="24"/>
          <w:szCs w:val="24"/>
          <w:shd w:val="clear" w:color="auto" w:fill="FFFFFF"/>
        </w:rPr>
        <w:t>(8), p.3319.</w:t>
      </w:r>
    </w:p>
    <w:p w:rsidR="00733E73" w:rsidRPr="008D2E20" w:rsidP="00733E73" w14:paraId="7AF62A6C" w14:textId="77777777">
      <w:pPr>
        <w:spacing w:line="360" w:lineRule="auto"/>
        <w:ind w:left="720" w:hanging="720"/>
        <w:jc w:val="both"/>
        <w:rPr>
          <w:rFonts w:ascii="Times New Roman" w:hAnsi="Times New Roman" w:cs="Times New Roman"/>
          <w:color w:val="000000"/>
          <w:sz w:val="24"/>
          <w:szCs w:val="24"/>
        </w:rPr>
      </w:pPr>
      <w:r w:rsidRPr="008D2E20">
        <w:rPr>
          <w:rFonts w:ascii="Times New Roman" w:hAnsi="Times New Roman" w:cs="Times New Roman"/>
          <w:color w:val="000000"/>
          <w:sz w:val="24"/>
          <w:szCs w:val="24"/>
        </w:rPr>
        <w:t>Lab, O. (2020). </w:t>
      </w:r>
      <w:r w:rsidRPr="008D2E20">
        <w:rPr>
          <w:rFonts w:ascii="Times New Roman" w:hAnsi="Times New Roman" w:cs="Times New Roman"/>
          <w:i/>
          <w:iCs/>
          <w:color w:val="000000"/>
          <w:sz w:val="24"/>
          <w:szCs w:val="24"/>
        </w:rPr>
        <w:t>Human Resources</w:t>
      </w:r>
      <w:r w:rsidRPr="008D2E20">
        <w:rPr>
          <w:rFonts w:ascii="Times New Roman" w:hAnsi="Times New Roman" w:cs="Times New Roman"/>
          <w:color w:val="000000"/>
          <w:sz w:val="24"/>
          <w:szCs w:val="24"/>
        </w:rPr>
        <w:t xml:space="preserve">. [online] Pressbooks.pub. Available at: </w:t>
      </w:r>
      <w:hyperlink r:id="rId7" w:history="1">
        <w:r w:rsidRPr="008D2E20">
          <w:rPr>
            <w:rStyle w:val="Hyperlink"/>
            <w:rFonts w:ascii="Times New Roman" w:hAnsi="Times New Roman" w:cs="Times New Roman"/>
            <w:sz w:val="24"/>
            <w:szCs w:val="24"/>
          </w:rPr>
          <w:t>https://ecampusontario.pressbooks.pub/busi1600/chapter/human-resources/</w:t>
        </w:r>
      </w:hyperlink>
    </w:p>
    <w:p w:rsidR="00733E73" w:rsidRPr="008D2E20" w:rsidP="00733E73" w14:paraId="50C67795"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rPr>
        <w:t>Lab, O. (2020). </w:t>
      </w:r>
      <w:r w:rsidRPr="008D2E20">
        <w:rPr>
          <w:rFonts w:ascii="Times New Roman" w:hAnsi="Times New Roman" w:cs="Times New Roman"/>
          <w:i/>
          <w:iCs/>
          <w:sz w:val="24"/>
          <w:szCs w:val="24"/>
        </w:rPr>
        <w:t>Human Resources</w:t>
      </w:r>
      <w:r w:rsidRPr="008D2E20">
        <w:rPr>
          <w:rFonts w:ascii="Times New Roman" w:hAnsi="Times New Roman" w:cs="Times New Roman"/>
          <w:sz w:val="24"/>
          <w:szCs w:val="24"/>
        </w:rPr>
        <w:t>. [online] Pressbooks.pub. Available at: https://ecampusontario.pressbooks.pub/busi1600/chapter/human-resources/ [Accessed 8 Feb. 2025].</w:t>
      </w:r>
    </w:p>
    <w:p w:rsidR="00733E73" w:rsidRPr="00733E73" w:rsidP="00733E73" w14:paraId="68E65CD4"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Mackay, K. (1998). Public Sector Performance- The Critical Role of Evaluation Selected Proceedings from a World Bank Seminar. [online] Available at: https://documents1.worldbank.org/curated/ru/579411468778193973/016824232_200309276104321/additional/multi-page.pdf [Accessed 11 Feb. 2025].</w:t>
      </w:r>
    </w:p>
    <w:p w:rsidR="00733E73" w:rsidRPr="008D2E20" w:rsidP="00733E73" w14:paraId="688418B7"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Maslach, C. and Leiter, M.P., 2022. </w:t>
      </w:r>
      <w:r w:rsidRPr="008D2E20">
        <w:rPr>
          <w:rFonts w:ascii="Times New Roman" w:hAnsi="Times New Roman" w:cs="Times New Roman"/>
          <w:i/>
          <w:iCs/>
          <w:sz w:val="24"/>
          <w:szCs w:val="24"/>
          <w:shd w:val="clear" w:color="auto" w:fill="FFFFFF"/>
        </w:rPr>
        <w:t>The burnout challenge: Managing people’s relationships with their jobs</w:t>
      </w:r>
      <w:r w:rsidRPr="008D2E20">
        <w:rPr>
          <w:rFonts w:ascii="Times New Roman" w:hAnsi="Times New Roman" w:cs="Times New Roman"/>
          <w:sz w:val="24"/>
          <w:szCs w:val="24"/>
          <w:shd w:val="clear" w:color="auto" w:fill="FFFFFF"/>
        </w:rPr>
        <w:t>. Harvard University Press.</w:t>
      </w:r>
    </w:p>
    <w:p w:rsidR="00733E73" w:rsidRPr="00733E73" w:rsidP="00733E73" w14:paraId="2EB50D4E"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Monteiro, P. and Adler, P.S. (2021). Bureaucracy for the 21st Century: Clarifying and Expanding Our View of Bureaucratic Organization. [online] ResearchGate. Available at: https://www.researchgate.net/publication/357237542_Bureaucracy_for_the_21st_Century_Clarifying_and_Expanding_Our_View_of_Bureaucratic_Organization.</w:t>
      </w:r>
    </w:p>
    <w:p w:rsidR="00733E73" w:rsidRPr="008D2E20" w:rsidP="00733E73" w14:paraId="72CC4798"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 xml:space="preserve">Nadkarni, S. and </w:t>
      </w:r>
      <w:r w:rsidRPr="008D2E20">
        <w:rPr>
          <w:rFonts w:ascii="Times New Roman" w:hAnsi="Times New Roman" w:cs="Times New Roman"/>
          <w:sz w:val="24"/>
          <w:szCs w:val="24"/>
          <w:shd w:val="clear" w:color="auto" w:fill="FFFFFF"/>
        </w:rPr>
        <w:t>Prügl</w:t>
      </w:r>
      <w:r w:rsidRPr="008D2E20">
        <w:rPr>
          <w:rFonts w:ascii="Times New Roman" w:hAnsi="Times New Roman" w:cs="Times New Roman"/>
          <w:sz w:val="24"/>
          <w:szCs w:val="24"/>
          <w:shd w:val="clear" w:color="auto" w:fill="FFFFFF"/>
        </w:rPr>
        <w:t>, R., 2021. Digital transformation: a review, synthesis and opportunities for future research. </w:t>
      </w:r>
      <w:r w:rsidRPr="008D2E20">
        <w:rPr>
          <w:rFonts w:ascii="Times New Roman" w:hAnsi="Times New Roman" w:cs="Times New Roman"/>
          <w:i/>
          <w:iCs/>
          <w:sz w:val="24"/>
          <w:szCs w:val="24"/>
          <w:shd w:val="clear" w:color="auto" w:fill="FFFFFF"/>
        </w:rPr>
        <w:t>Management Review Quarterly</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71</w:t>
      </w:r>
      <w:r w:rsidRPr="008D2E20">
        <w:rPr>
          <w:rFonts w:ascii="Times New Roman" w:hAnsi="Times New Roman" w:cs="Times New Roman"/>
          <w:sz w:val="24"/>
          <w:szCs w:val="24"/>
          <w:shd w:val="clear" w:color="auto" w:fill="FFFFFF"/>
        </w:rPr>
        <w:t>, pp.233-341.</w:t>
      </w:r>
    </w:p>
    <w:p w:rsidR="00733E73" w:rsidRPr="008D2E20" w:rsidP="00733E73" w14:paraId="21E37F64"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Obuba</w:t>
      </w:r>
      <w:r w:rsidRPr="008D2E20">
        <w:rPr>
          <w:rFonts w:ascii="Times New Roman" w:hAnsi="Times New Roman" w:cs="Times New Roman"/>
          <w:sz w:val="24"/>
          <w:szCs w:val="24"/>
          <w:shd w:val="clear" w:color="auto" w:fill="FFFFFF"/>
        </w:rPr>
        <w:t>, M.O., 2023. Evaluating the moral components of authentic leadership on employees’ productivity. A literature review. </w:t>
      </w:r>
      <w:r w:rsidRPr="008D2E20">
        <w:rPr>
          <w:rFonts w:ascii="Times New Roman" w:hAnsi="Times New Roman" w:cs="Times New Roman"/>
          <w:i/>
          <w:iCs/>
          <w:sz w:val="24"/>
          <w:szCs w:val="24"/>
          <w:shd w:val="clear" w:color="auto" w:fill="FFFFFF"/>
        </w:rPr>
        <w:t>Open Journal of Leadership</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12</w:t>
      </w:r>
      <w:r w:rsidRPr="008D2E20">
        <w:rPr>
          <w:rFonts w:ascii="Times New Roman" w:hAnsi="Times New Roman" w:cs="Times New Roman"/>
          <w:sz w:val="24"/>
          <w:szCs w:val="24"/>
          <w:shd w:val="clear" w:color="auto" w:fill="FFFFFF"/>
        </w:rPr>
        <w:t>(1), pp.89-115.</w:t>
      </w:r>
    </w:p>
    <w:p w:rsidR="00733E73" w:rsidRPr="008D2E20" w:rsidP="00733E73" w14:paraId="2F9AEBD5"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Ochieng, E.M., 2023. A Study of the History Functions Roles and Challenges of Human Resources Management. </w:t>
      </w:r>
      <w:r w:rsidRPr="008D2E20">
        <w:rPr>
          <w:rFonts w:ascii="Times New Roman" w:hAnsi="Times New Roman" w:cs="Times New Roman"/>
          <w:i/>
          <w:iCs/>
          <w:sz w:val="24"/>
          <w:szCs w:val="24"/>
          <w:shd w:val="clear" w:color="auto" w:fill="FFFFFF"/>
        </w:rPr>
        <w:t>Journal of Enterprise and Business Intelligence</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3</w:t>
      </w:r>
      <w:r w:rsidRPr="008D2E20">
        <w:rPr>
          <w:rFonts w:ascii="Times New Roman" w:hAnsi="Times New Roman" w:cs="Times New Roman"/>
          <w:sz w:val="24"/>
          <w:szCs w:val="24"/>
          <w:shd w:val="clear" w:color="auto" w:fill="FFFFFF"/>
        </w:rPr>
        <w:t>(1), pp.054-064.</w:t>
      </w:r>
    </w:p>
    <w:p w:rsidR="00733E73" w:rsidRPr="00733E73" w:rsidP="00733E73" w14:paraId="65560F50"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Ogbe, A.A. (2022). RECRUITMENT AND SELECTION PRACTICES AND THE PERFORMANCE OF PUBLIC SECTOR ORGANIZATIONS: THE CASE OF THE... ResearchGate, [online] 10(12, December, 2022), p.1137. Available at: https://www.researchgate.net/publication/371865439_RECRUITMENT_AND_SELECTION_PRACTICES_AND_THE_PERFORMANCE_OF_PUBLIC_SECTOR_ORGANISATIONS_THE_CASE_OF_THE_OFFICE_NATIONAL_DES_TELECOMMUNICATIONS_BURUNDI [Accessed 11 Feb. 2025].</w:t>
      </w:r>
    </w:p>
    <w:p w:rsidR="00733E73" w:rsidRPr="008D2E20" w:rsidP="00733E73" w14:paraId="31964E19"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Ogborigbo</w:t>
      </w:r>
      <w:r w:rsidRPr="008D2E20">
        <w:rPr>
          <w:rFonts w:ascii="Times New Roman" w:hAnsi="Times New Roman" w:cs="Times New Roman"/>
          <w:sz w:val="24"/>
          <w:szCs w:val="24"/>
          <w:shd w:val="clear" w:color="auto" w:fill="FFFFFF"/>
        </w:rPr>
        <w:t xml:space="preserve">, J.C., </w:t>
      </w:r>
      <w:r w:rsidRPr="008D2E20">
        <w:rPr>
          <w:rFonts w:ascii="Times New Roman" w:hAnsi="Times New Roman" w:cs="Times New Roman"/>
          <w:sz w:val="24"/>
          <w:szCs w:val="24"/>
          <w:shd w:val="clear" w:color="auto" w:fill="FFFFFF"/>
        </w:rPr>
        <w:t>Sobowale</w:t>
      </w:r>
      <w:r w:rsidRPr="008D2E20">
        <w:rPr>
          <w:rFonts w:ascii="Times New Roman" w:hAnsi="Times New Roman" w:cs="Times New Roman"/>
          <w:sz w:val="24"/>
          <w:szCs w:val="24"/>
          <w:shd w:val="clear" w:color="auto" w:fill="FFFFFF"/>
        </w:rPr>
        <w:t xml:space="preserve">, O.S., </w:t>
      </w:r>
      <w:r w:rsidRPr="008D2E20">
        <w:rPr>
          <w:rFonts w:ascii="Times New Roman" w:hAnsi="Times New Roman" w:cs="Times New Roman"/>
          <w:sz w:val="24"/>
          <w:szCs w:val="24"/>
          <w:shd w:val="clear" w:color="auto" w:fill="FFFFFF"/>
        </w:rPr>
        <w:t>Amienwalen</w:t>
      </w:r>
      <w:r w:rsidRPr="008D2E20">
        <w:rPr>
          <w:rFonts w:ascii="Times New Roman" w:hAnsi="Times New Roman" w:cs="Times New Roman"/>
          <w:sz w:val="24"/>
          <w:szCs w:val="24"/>
          <w:shd w:val="clear" w:color="auto" w:fill="FFFFFF"/>
        </w:rPr>
        <w:t xml:space="preserve">, E.I., </w:t>
      </w:r>
      <w:r w:rsidRPr="008D2E20">
        <w:rPr>
          <w:rFonts w:ascii="Times New Roman" w:hAnsi="Times New Roman" w:cs="Times New Roman"/>
          <w:sz w:val="24"/>
          <w:szCs w:val="24"/>
          <w:shd w:val="clear" w:color="auto" w:fill="FFFFFF"/>
        </w:rPr>
        <w:t>Owoade</w:t>
      </w:r>
      <w:r w:rsidRPr="008D2E20">
        <w:rPr>
          <w:rFonts w:ascii="Times New Roman" w:hAnsi="Times New Roman" w:cs="Times New Roman"/>
          <w:sz w:val="24"/>
          <w:szCs w:val="24"/>
          <w:shd w:val="clear" w:color="auto" w:fill="FFFFFF"/>
        </w:rPr>
        <w:t>, Y., Samson, A.T. and Egerson, J., 2024. Strategic integration of cyber security in business intelligence systems for data protection and competitive advantage. </w:t>
      </w:r>
      <w:r w:rsidRPr="008D2E20">
        <w:rPr>
          <w:rFonts w:ascii="Times New Roman" w:hAnsi="Times New Roman" w:cs="Times New Roman"/>
          <w:i/>
          <w:iCs/>
          <w:sz w:val="24"/>
          <w:szCs w:val="24"/>
          <w:shd w:val="clear" w:color="auto" w:fill="FFFFFF"/>
        </w:rPr>
        <w:t>World Journal of Advanced Research and Reviews</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23</w:t>
      </w:r>
      <w:r w:rsidRPr="008D2E20">
        <w:rPr>
          <w:rFonts w:ascii="Times New Roman" w:hAnsi="Times New Roman" w:cs="Times New Roman"/>
          <w:sz w:val="24"/>
          <w:szCs w:val="24"/>
          <w:shd w:val="clear" w:color="auto" w:fill="FFFFFF"/>
        </w:rPr>
        <w:t>(1), pp.081-096.</w:t>
      </w:r>
      <w:r w:rsidRPr="008D2E20">
        <w:rPr>
          <w:rFonts w:ascii="Times New Roman" w:hAnsi="Times New Roman" w:cs="Times New Roman"/>
          <w:sz w:val="24"/>
          <w:szCs w:val="24"/>
        </w:rPr>
        <w:t xml:space="preserve"> </w:t>
      </w:r>
    </w:p>
    <w:p w:rsidR="00733E73" w:rsidRPr="008D2E20" w:rsidP="00733E73" w14:paraId="6E3EED58"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Okpala, C., Igbokwe, N. and Nwankwo, C.O., 2023. Revolutionizing Manufacturing: Harnessing the Power of Artificial Intelligence for Enhanced Efficiency and Innovation. </w:t>
      </w:r>
      <w:r w:rsidRPr="008D2E20">
        <w:rPr>
          <w:rFonts w:ascii="Times New Roman" w:hAnsi="Times New Roman" w:cs="Times New Roman"/>
          <w:i/>
          <w:iCs/>
          <w:sz w:val="24"/>
          <w:szCs w:val="24"/>
          <w:shd w:val="clear" w:color="auto" w:fill="FFFFFF"/>
        </w:rPr>
        <w:t>International Journal of Engineering Research and Development</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19</w:t>
      </w:r>
      <w:r w:rsidRPr="008D2E20">
        <w:rPr>
          <w:rFonts w:ascii="Times New Roman" w:hAnsi="Times New Roman" w:cs="Times New Roman"/>
          <w:sz w:val="24"/>
          <w:szCs w:val="24"/>
          <w:shd w:val="clear" w:color="auto" w:fill="FFFFFF"/>
        </w:rPr>
        <w:t>(6), pp.18-25.</w:t>
      </w:r>
    </w:p>
    <w:p w:rsidR="00733E73" w:rsidRPr="00161EA3" w:rsidP="00733E73" w14:paraId="7F24481E"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 xml:space="preserve">Paudel, R. (2024). The Impact of Automation and Artificial Intelligence (AI) on Leadership and the Workforce. Indonesian Journal of Banking and Financial Technology, [online] 2(2), pp.109–124. </w:t>
      </w:r>
      <w:r w:rsidRPr="00161EA3">
        <w:rPr>
          <w:rFonts w:ascii="Times New Roman" w:hAnsi="Times New Roman" w:cs="Times New Roman"/>
          <w:sz w:val="24"/>
          <w:szCs w:val="24"/>
        </w:rPr>
        <w:t>doi:https</w:t>
      </w:r>
      <w:r w:rsidRPr="00161EA3">
        <w:rPr>
          <w:rFonts w:ascii="Times New Roman" w:hAnsi="Times New Roman" w:cs="Times New Roman"/>
          <w:sz w:val="24"/>
          <w:szCs w:val="24"/>
        </w:rPr>
        <w:t>://doi.org/10.55927/fintech.v2i2.8904</w:t>
      </w:r>
      <w:r w:rsidRPr="00161EA3">
        <w:rPr>
          <w:rFonts w:ascii="Times New Roman" w:hAnsi="Times New Roman" w:cs="Times New Roman"/>
          <w:sz w:val="24"/>
          <w:szCs w:val="24"/>
        </w:rPr>
        <w:t>.</w:t>
      </w:r>
    </w:p>
    <w:p w:rsidR="00733E73" w:rsidRPr="00161EA3" w:rsidP="00733E73" w14:paraId="2DEFB08B" w14:textId="77777777">
      <w:pPr>
        <w:spacing w:line="360" w:lineRule="auto"/>
        <w:ind w:left="720" w:hanging="720"/>
        <w:jc w:val="both"/>
        <w:rPr>
          <w:rFonts w:ascii="Times New Roman" w:hAnsi="Times New Roman" w:cs="Times New Roman"/>
          <w:sz w:val="24"/>
          <w:szCs w:val="24"/>
        </w:rPr>
      </w:pPr>
      <w:r w:rsidRPr="00161EA3">
        <w:rPr>
          <w:rFonts w:ascii="Times New Roman" w:hAnsi="Times New Roman" w:cs="Times New Roman"/>
          <w:sz w:val="24"/>
          <w:szCs w:val="24"/>
        </w:rPr>
        <w:t>Pavlik, G. (2023). What Is Generative AI? How Does It Work? [online] Oracle.com. Available at: https://www.oracle.com/pk/artificial-intelligence/generative-ai/what-is-generative-ai/ [Accessed 11 Feb. 2025].</w:t>
      </w:r>
    </w:p>
    <w:p w:rsidR="00733E73" w:rsidRPr="008D2E20" w:rsidP="00733E73" w14:paraId="5F5491E5" w14:textId="77777777">
      <w:pPr>
        <w:spacing w:line="360" w:lineRule="auto"/>
        <w:ind w:left="720" w:hanging="720"/>
        <w:jc w:val="both"/>
        <w:rPr>
          <w:rFonts w:ascii="Times New Roman" w:hAnsi="Times New Roman" w:cs="Times New Roman"/>
          <w:sz w:val="24"/>
          <w:szCs w:val="24"/>
          <w:shd w:val="clear" w:color="auto" w:fill="FFFFFF"/>
        </w:rPr>
      </w:pPr>
      <w:r w:rsidRPr="008D2E20">
        <w:rPr>
          <w:rFonts w:ascii="Times New Roman" w:hAnsi="Times New Roman" w:cs="Times New Roman"/>
          <w:sz w:val="24"/>
          <w:szCs w:val="24"/>
          <w:shd w:val="clear" w:color="auto" w:fill="FFFFFF"/>
        </w:rPr>
        <w:t>Preet, N. and Chahal, N., 2025. Boosting Employee Morale: Engagement and Technological Enhancements in the Transcendent Workplace. In </w:t>
      </w:r>
      <w:r w:rsidRPr="008D2E20">
        <w:rPr>
          <w:rFonts w:ascii="Times New Roman" w:hAnsi="Times New Roman" w:cs="Times New Roman"/>
          <w:i/>
          <w:iCs/>
          <w:sz w:val="24"/>
          <w:szCs w:val="24"/>
          <w:shd w:val="clear" w:color="auto" w:fill="FFFFFF"/>
        </w:rPr>
        <w:t>Technological Enhancements for Improving Employee Performance, Safety, and Well-Being</w:t>
      </w:r>
      <w:r w:rsidRPr="008D2E20">
        <w:rPr>
          <w:rFonts w:ascii="Times New Roman" w:hAnsi="Times New Roman" w:cs="Times New Roman"/>
          <w:sz w:val="24"/>
          <w:szCs w:val="24"/>
          <w:shd w:val="clear" w:color="auto" w:fill="FFFFFF"/>
        </w:rPr>
        <w:t> (pp. 81-110). IGI Global.</w:t>
      </w:r>
    </w:p>
    <w:p w:rsidR="00733E73" w:rsidRPr="00733E73" w:rsidP="00733E73" w14:paraId="4A6DF062"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Rajapathirana</w:t>
      </w:r>
      <w:r w:rsidRPr="00733E73">
        <w:rPr>
          <w:rFonts w:ascii="Times New Roman" w:hAnsi="Times New Roman" w:cs="Times New Roman"/>
          <w:sz w:val="24"/>
          <w:szCs w:val="24"/>
          <w:shd w:val="clear" w:color="auto" w:fill="FFFFFF"/>
        </w:rPr>
        <w:t xml:space="preserve">, R.P.J. and Hui, Y. (2017). Relationship between innovation capability, innovation type, and firm performance. Journal of Innovation &amp; Knowledge, [online] 3(1), pp.44–55. </w:t>
      </w:r>
      <w:r w:rsidRPr="00733E73">
        <w:rPr>
          <w:rFonts w:ascii="Times New Roman" w:hAnsi="Times New Roman" w:cs="Times New Roman"/>
          <w:sz w:val="24"/>
          <w:szCs w:val="24"/>
          <w:shd w:val="clear" w:color="auto" w:fill="FFFFFF"/>
        </w:rPr>
        <w:t>doi:https</w:t>
      </w:r>
      <w:r w:rsidRPr="00733E73">
        <w:rPr>
          <w:rFonts w:ascii="Times New Roman" w:hAnsi="Times New Roman" w:cs="Times New Roman"/>
          <w:sz w:val="24"/>
          <w:szCs w:val="24"/>
          <w:shd w:val="clear" w:color="auto" w:fill="FFFFFF"/>
        </w:rPr>
        <w:t>://doi.org/10.1016/j.jik.2017.06.002</w:t>
      </w:r>
      <w:r w:rsidRPr="00733E73">
        <w:rPr>
          <w:rFonts w:ascii="Times New Roman" w:hAnsi="Times New Roman" w:cs="Times New Roman"/>
          <w:sz w:val="24"/>
          <w:szCs w:val="24"/>
          <w:shd w:val="clear" w:color="auto" w:fill="FFFFFF"/>
        </w:rPr>
        <w:t>.</w:t>
      </w:r>
    </w:p>
    <w:p w:rsidR="00733E73" w:rsidRPr="008D2E20" w:rsidP="00733E73" w14:paraId="76ABB28B" w14:textId="77777777">
      <w:pPr>
        <w:spacing w:line="360" w:lineRule="auto"/>
        <w:ind w:left="720" w:hanging="720"/>
        <w:jc w:val="both"/>
        <w:rPr>
          <w:rFonts w:ascii="Times New Roman" w:hAnsi="Times New Roman" w:cs="Times New Roman"/>
          <w:sz w:val="24"/>
          <w:szCs w:val="24"/>
          <w:shd w:val="clear" w:color="auto" w:fill="FFFFFF"/>
        </w:rPr>
      </w:pPr>
      <w:r w:rsidRPr="008D2E20">
        <w:rPr>
          <w:rFonts w:ascii="Times New Roman" w:hAnsi="Times New Roman" w:cs="Times New Roman"/>
          <w:sz w:val="24"/>
          <w:szCs w:val="24"/>
          <w:shd w:val="clear" w:color="auto" w:fill="FFFFFF"/>
        </w:rPr>
        <w:t>Rajashekar, S. and Jain, A., 2024. A thematic analysis on “employee engagement in IT companies from the perspective of holistic well-being initiatives”. </w:t>
      </w:r>
      <w:r w:rsidRPr="008D2E20">
        <w:rPr>
          <w:rFonts w:ascii="Times New Roman" w:hAnsi="Times New Roman" w:cs="Times New Roman"/>
          <w:i/>
          <w:iCs/>
          <w:sz w:val="24"/>
          <w:szCs w:val="24"/>
          <w:shd w:val="clear" w:color="auto" w:fill="FFFFFF"/>
        </w:rPr>
        <w:t>Employee Responsibilities and Rights Journal</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36</w:t>
      </w:r>
      <w:r w:rsidRPr="008D2E20">
        <w:rPr>
          <w:rFonts w:ascii="Times New Roman" w:hAnsi="Times New Roman" w:cs="Times New Roman"/>
          <w:sz w:val="24"/>
          <w:szCs w:val="24"/>
          <w:shd w:val="clear" w:color="auto" w:fill="FFFFFF"/>
        </w:rPr>
        <w:t>(2), pp.165-187.</w:t>
      </w:r>
    </w:p>
    <w:p w:rsidR="00733E73" w:rsidRPr="008D2E20" w:rsidP="00733E73" w14:paraId="33ED819F" w14:textId="77777777">
      <w:pPr>
        <w:spacing w:line="360" w:lineRule="auto"/>
        <w:ind w:left="720" w:hanging="720"/>
        <w:jc w:val="both"/>
        <w:rPr>
          <w:rFonts w:ascii="Times New Roman" w:hAnsi="Times New Roman" w:cs="Times New Roman"/>
          <w:sz w:val="24"/>
          <w:szCs w:val="24"/>
          <w:shd w:val="clear" w:color="auto" w:fill="FFFFFF"/>
        </w:rPr>
      </w:pPr>
      <w:r w:rsidRPr="008D2E20">
        <w:rPr>
          <w:rFonts w:ascii="Times New Roman" w:hAnsi="Times New Roman" w:cs="Times New Roman"/>
          <w:sz w:val="24"/>
          <w:szCs w:val="24"/>
          <w:shd w:val="clear" w:color="auto" w:fill="FFFFFF"/>
        </w:rPr>
        <w:t>Rastogi, P., Khandelwal, S., Khurana, R., Gupta, H. and Singh, P., 2025. </w:t>
      </w:r>
      <w:r w:rsidRPr="008D2E20">
        <w:rPr>
          <w:rFonts w:ascii="Times New Roman" w:hAnsi="Times New Roman" w:cs="Times New Roman"/>
          <w:i/>
          <w:iCs/>
          <w:sz w:val="24"/>
          <w:szCs w:val="24"/>
          <w:shd w:val="clear" w:color="auto" w:fill="FFFFFF"/>
        </w:rPr>
        <w:t>Revolutionizing HR: The AI-Powered Guide to Modern HR Practices</w:t>
      </w:r>
      <w:r w:rsidRPr="008D2E20">
        <w:rPr>
          <w:rFonts w:ascii="Times New Roman" w:hAnsi="Times New Roman" w:cs="Times New Roman"/>
          <w:sz w:val="24"/>
          <w:szCs w:val="24"/>
          <w:shd w:val="clear" w:color="auto" w:fill="FFFFFF"/>
        </w:rPr>
        <w:t>. Academic Enclave.</w:t>
      </w:r>
    </w:p>
    <w:p w:rsidR="00733E73" w:rsidRPr="008D2E20" w:rsidP="00733E73" w14:paraId="399285CE"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Saini, A., Saini, G.K. and Kumar, S., 2021. Role of corporate social marketing campaigns in employer branding: a study of campus engagement initiatives. </w:t>
      </w:r>
      <w:r w:rsidRPr="008D2E20">
        <w:rPr>
          <w:rFonts w:ascii="Times New Roman" w:hAnsi="Times New Roman" w:cs="Times New Roman"/>
          <w:i/>
          <w:iCs/>
          <w:sz w:val="24"/>
          <w:szCs w:val="24"/>
          <w:shd w:val="clear" w:color="auto" w:fill="FFFFFF"/>
        </w:rPr>
        <w:t>Social Marketing Quarterly</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27</w:t>
      </w:r>
      <w:r w:rsidRPr="008D2E20">
        <w:rPr>
          <w:rFonts w:ascii="Times New Roman" w:hAnsi="Times New Roman" w:cs="Times New Roman"/>
          <w:sz w:val="24"/>
          <w:szCs w:val="24"/>
          <w:shd w:val="clear" w:color="auto" w:fill="FFFFFF"/>
        </w:rPr>
        <w:t>(4), pp.324-346.</w:t>
      </w:r>
    </w:p>
    <w:p w:rsidR="00733E73" w:rsidRPr="00733E73" w:rsidP="00733E73" w14:paraId="45240FE5" w14:textId="77777777">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Samwel, J.O. (2018). An Assessment of the Impact of Performance Management on Employee and Organization Performance - Evidence... [online] ResearchGate. Available at: https://www.researchgate.net/publication/326578053_An_Assessment_of_the_Impact_of_Performance_Management_on_Employee_and_Organization_Performance_-_Evidence_from_Selected_Private_Organizations_in_Tanzania.</w:t>
      </w:r>
    </w:p>
    <w:p w:rsidR="00733E73" w:rsidP="00733E73" w14:paraId="138298CA" w14:textId="77777777">
      <w:pPr>
        <w:spacing w:line="360" w:lineRule="auto"/>
        <w:ind w:left="720" w:hanging="720"/>
        <w:jc w:val="both"/>
        <w:rPr>
          <w:rFonts w:ascii="Times New Roman" w:hAnsi="Times New Roman" w:cs="Times New Roman"/>
          <w:sz w:val="24"/>
          <w:szCs w:val="24"/>
          <w:shd w:val="clear" w:color="auto" w:fill="FFFFFF"/>
        </w:rPr>
      </w:pPr>
      <w:r w:rsidRPr="008D2E20">
        <w:rPr>
          <w:rFonts w:ascii="Times New Roman" w:hAnsi="Times New Roman" w:cs="Times New Roman"/>
          <w:sz w:val="24"/>
          <w:szCs w:val="24"/>
          <w:shd w:val="clear" w:color="auto" w:fill="FFFFFF"/>
        </w:rPr>
        <w:t>Suravi, S., 2024. Training and development in the hybrid workplace. </w:t>
      </w:r>
      <w:r w:rsidRPr="008D2E20">
        <w:rPr>
          <w:rFonts w:ascii="Times New Roman" w:hAnsi="Times New Roman" w:cs="Times New Roman"/>
          <w:i/>
          <w:iCs/>
          <w:sz w:val="24"/>
          <w:szCs w:val="24"/>
          <w:shd w:val="clear" w:color="auto" w:fill="FFFFFF"/>
        </w:rPr>
        <w:t>The Learning Organization</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31</w:t>
      </w:r>
      <w:r w:rsidRPr="008D2E20">
        <w:rPr>
          <w:rFonts w:ascii="Times New Roman" w:hAnsi="Times New Roman" w:cs="Times New Roman"/>
          <w:sz w:val="24"/>
          <w:szCs w:val="24"/>
          <w:shd w:val="clear" w:color="auto" w:fill="FFFFFF"/>
        </w:rPr>
        <w:t>(1), pp.48-67.</w:t>
      </w:r>
    </w:p>
    <w:p w:rsidR="00733E73" w:rsidRPr="008D2E20" w:rsidP="00733E73" w14:paraId="142C33A2"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Susanto, P.C., 2022, December. Employee Engagement Strategy: Analysis Of Organizational Commitment, Compensation, Career Development. In </w:t>
      </w:r>
      <w:r w:rsidRPr="008D2E20">
        <w:rPr>
          <w:rFonts w:ascii="Times New Roman" w:hAnsi="Times New Roman" w:cs="Times New Roman"/>
          <w:i/>
          <w:iCs/>
          <w:sz w:val="24"/>
          <w:szCs w:val="24"/>
          <w:shd w:val="clear" w:color="auto" w:fill="FFFFFF"/>
        </w:rPr>
        <w:t>International Conference of Humanities and Social Science (ICHSS)</w:t>
      </w:r>
      <w:r w:rsidRPr="008D2E20">
        <w:rPr>
          <w:rFonts w:ascii="Times New Roman" w:hAnsi="Times New Roman" w:cs="Times New Roman"/>
          <w:sz w:val="24"/>
          <w:szCs w:val="24"/>
          <w:shd w:val="clear" w:color="auto" w:fill="FFFFFF"/>
        </w:rPr>
        <w:t> (pp. 96-103).</w:t>
      </w:r>
    </w:p>
    <w:p w:rsidR="00733E73" w:rsidRPr="008D2E20" w:rsidP="00733E73" w14:paraId="7EC594CE" w14:textId="77777777">
      <w:pPr>
        <w:spacing w:line="360" w:lineRule="auto"/>
        <w:ind w:left="720" w:hanging="720"/>
        <w:jc w:val="both"/>
        <w:rPr>
          <w:rFonts w:ascii="Times New Roman" w:hAnsi="Times New Roman" w:cs="Times New Roman"/>
          <w:sz w:val="24"/>
          <w:szCs w:val="24"/>
        </w:rPr>
      </w:pPr>
      <w:r w:rsidRPr="008D2E20">
        <w:rPr>
          <w:rFonts w:ascii="Times New Roman" w:hAnsi="Times New Roman" w:cs="Times New Roman"/>
          <w:sz w:val="24"/>
          <w:szCs w:val="24"/>
          <w:shd w:val="clear" w:color="auto" w:fill="FFFFFF"/>
        </w:rPr>
        <w:t>Sypniewska, B., Baran, M. and Kłos, M., 2023. Work engagement and employee satisfaction in the practice of sustainable human resource management–based on the study of Polish employees. </w:t>
      </w:r>
      <w:r w:rsidRPr="008D2E20">
        <w:rPr>
          <w:rFonts w:ascii="Times New Roman" w:hAnsi="Times New Roman" w:cs="Times New Roman"/>
          <w:i/>
          <w:iCs/>
          <w:sz w:val="24"/>
          <w:szCs w:val="24"/>
          <w:shd w:val="clear" w:color="auto" w:fill="FFFFFF"/>
        </w:rPr>
        <w:t>International Entrepreneurship and Management Journal</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19</w:t>
      </w:r>
      <w:r w:rsidRPr="008D2E20">
        <w:rPr>
          <w:rFonts w:ascii="Times New Roman" w:hAnsi="Times New Roman" w:cs="Times New Roman"/>
          <w:sz w:val="24"/>
          <w:szCs w:val="24"/>
          <w:shd w:val="clear" w:color="auto" w:fill="FFFFFF"/>
        </w:rPr>
        <w:t>(3), pp.1069-1100.</w:t>
      </w:r>
    </w:p>
    <w:p w:rsidR="00733E73" w:rsidP="00733E73" w14:paraId="7CEAA38F" w14:textId="77777777">
      <w:pPr>
        <w:spacing w:line="360" w:lineRule="auto"/>
        <w:ind w:left="720" w:hanging="720"/>
        <w:jc w:val="both"/>
        <w:rPr>
          <w:rFonts w:ascii="Times New Roman" w:hAnsi="Times New Roman" w:cs="Times New Roman"/>
          <w:sz w:val="24"/>
          <w:szCs w:val="24"/>
          <w:shd w:val="clear" w:color="auto" w:fill="FFFFFF"/>
        </w:rPr>
      </w:pPr>
      <w:r w:rsidRPr="008D2E20">
        <w:rPr>
          <w:rFonts w:ascii="Times New Roman" w:hAnsi="Times New Roman" w:cs="Times New Roman"/>
          <w:sz w:val="24"/>
          <w:szCs w:val="24"/>
          <w:shd w:val="clear" w:color="auto" w:fill="FFFFFF"/>
        </w:rPr>
        <w:t>Torres, L., Ripa, D., Jain, A., Herrero, J. and Leka, S., 2023. The potential of responsible business to promote sustainable work–An analysis of CSR/ESG instruments. </w:t>
      </w:r>
      <w:r w:rsidRPr="008D2E20">
        <w:rPr>
          <w:rFonts w:ascii="Times New Roman" w:hAnsi="Times New Roman" w:cs="Times New Roman"/>
          <w:i/>
          <w:iCs/>
          <w:sz w:val="24"/>
          <w:szCs w:val="24"/>
          <w:shd w:val="clear" w:color="auto" w:fill="FFFFFF"/>
        </w:rPr>
        <w:t>Safety Science</w:t>
      </w:r>
      <w:r w:rsidRPr="008D2E20">
        <w:rPr>
          <w:rFonts w:ascii="Times New Roman" w:hAnsi="Times New Roman" w:cs="Times New Roman"/>
          <w:sz w:val="24"/>
          <w:szCs w:val="24"/>
          <w:shd w:val="clear" w:color="auto" w:fill="FFFFFF"/>
        </w:rPr>
        <w:t>, </w:t>
      </w:r>
      <w:r w:rsidRPr="008D2E20">
        <w:rPr>
          <w:rFonts w:ascii="Times New Roman" w:hAnsi="Times New Roman" w:cs="Times New Roman"/>
          <w:i/>
          <w:iCs/>
          <w:sz w:val="24"/>
          <w:szCs w:val="24"/>
          <w:shd w:val="clear" w:color="auto" w:fill="FFFFFF"/>
        </w:rPr>
        <w:t>164</w:t>
      </w:r>
      <w:r w:rsidRPr="008D2E20">
        <w:rPr>
          <w:rFonts w:ascii="Times New Roman" w:hAnsi="Times New Roman" w:cs="Times New Roman"/>
          <w:sz w:val="24"/>
          <w:szCs w:val="24"/>
          <w:shd w:val="clear" w:color="auto" w:fill="FFFFFF"/>
        </w:rPr>
        <w:t>, p.106151.</w:t>
      </w:r>
    </w:p>
    <w:p w:rsidR="00EC00BA" w:rsidRPr="00733E73" w:rsidP="00733E73" w14:paraId="21523699" w14:textId="7C5699CE">
      <w:pPr>
        <w:spacing w:line="360" w:lineRule="auto"/>
        <w:ind w:left="720" w:hanging="720"/>
        <w:jc w:val="both"/>
        <w:rPr>
          <w:rFonts w:ascii="Times New Roman" w:hAnsi="Times New Roman" w:cs="Times New Roman"/>
          <w:sz w:val="24"/>
          <w:szCs w:val="24"/>
          <w:shd w:val="clear" w:color="auto" w:fill="FFFFFF"/>
        </w:rPr>
      </w:pPr>
      <w:r w:rsidRPr="00733E73">
        <w:rPr>
          <w:rFonts w:ascii="Times New Roman" w:hAnsi="Times New Roman" w:cs="Times New Roman"/>
          <w:sz w:val="24"/>
          <w:szCs w:val="24"/>
          <w:shd w:val="clear" w:color="auto" w:fill="FFFFFF"/>
        </w:rPr>
        <w:t xml:space="preserve">Volden, G.H. and Welde, M. (2022). Public project success? Measuring the nuances of success through ex post evaluation. International Journal of Project Management, [online] 40(6), pp.703–714. </w:t>
      </w:r>
      <w:r w:rsidRPr="00733E73">
        <w:rPr>
          <w:rFonts w:ascii="Times New Roman" w:hAnsi="Times New Roman" w:cs="Times New Roman"/>
          <w:sz w:val="24"/>
          <w:szCs w:val="24"/>
          <w:shd w:val="clear" w:color="auto" w:fill="FFFFFF"/>
        </w:rPr>
        <w:t>doi:https</w:t>
      </w:r>
      <w:r w:rsidRPr="00733E73">
        <w:rPr>
          <w:rFonts w:ascii="Times New Roman" w:hAnsi="Times New Roman" w:cs="Times New Roman"/>
          <w:sz w:val="24"/>
          <w:szCs w:val="24"/>
          <w:shd w:val="clear" w:color="auto" w:fill="FFFFFF"/>
        </w:rPr>
        <w:t>://doi.org/10.1016/j.ijproman.2022.06.006</w:t>
      </w:r>
      <w:r w:rsidRPr="00733E73">
        <w:rPr>
          <w:rFonts w:ascii="Times New Roman" w:hAnsi="Times New Roman" w:cs="Times New Roman"/>
          <w:sz w:val="24"/>
          <w:szCs w:val="24"/>
          <w:shd w:val="clear" w:color="auto" w:fill="FFFFFF"/>
        </w:rPr>
        <w:t>.</w:t>
      </w:r>
    </w:p>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36814205"/>
      <w:docPartObj>
        <w:docPartGallery w:val="Page Numbers (Bottom of Page)"/>
        <w:docPartUnique/>
      </w:docPartObj>
    </w:sdtPr>
    <w:sdtEndPr>
      <w:rPr>
        <w:color w:val="7F7F7F" w:themeColor="background1" w:themeShade="7F"/>
        <w:spacing w:val="60"/>
      </w:rPr>
    </w:sdtEndPr>
    <w:sdtContent>
      <w:p w:rsidR="00C15876" w14:paraId="1AE33AE8" w14:textId="70FBE19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rsidR="00C15876" w14:paraId="25BDB4B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C62CB"/>
    <w:multiLevelType w:val="hybridMultilevel"/>
    <w:tmpl w:val="8E90AD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4AB7D24"/>
    <w:multiLevelType w:val="multilevel"/>
    <w:tmpl w:val="4A80A80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
    <w:nsid w:val="26A12A9D"/>
    <w:multiLevelType w:val="hybridMultilevel"/>
    <w:tmpl w:val="1D4A14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56F6E06"/>
    <w:multiLevelType w:val="hybridMultilevel"/>
    <w:tmpl w:val="859E995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CB7552"/>
    <w:multiLevelType w:val="hybridMultilevel"/>
    <w:tmpl w:val="EA9AB5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8DB1122"/>
    <w:multiLevelType w:val="hybridMultilevel"/>
    <w:tmpl w:val="4F1415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327FED"/>
    <w:multiLevelType w:val="hybridMultilevel"/>
    <w:tmpl w:val="F47266F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F474F8A"/>
    <w:multiLevelType w:val="hybridMultilevel"/>
    <w:tmpl w:val="491AC3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50448372">
    <w:abstractNumId w:val="2"/>
  </w:num>
  <w:num w:numId="2" w16cid:durableId="1488352486">
    <w:abstractNumId w:val="0"/>
  </w:num>
  <w:num w:numId="3" w16cid:durableId="1346636543">
    <w:abstractNumId w:val="3"/>
  </w:num>
  <w:num w:numId="4" w16cid:durableId="1903329080">
    <w:abstractNumId w:val="6"/>
  </w:num>
  <w:num w:numId="5" w16cid:durableId="2083597640">
    <w:abstractNumId w:val="7"/>
  </w:num>
  <w:num w:numId="6" w16cid:durableId="1045638672">
    <w:abstractNumId w:val="5"/>
  </w:num>
  <w:num w:numId="7" w16cid:durableId="786317193">
    <w:abstractNumId w:val="4"/>
  </w:num>
  <w:num w:numId="8" w16cid:durableId="596719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ED"/>
    <w:rsid w:val="00020636"/>
    <w:rsid w:val="00161EA3"/>
    <w:rsid w:val="001D2D39"/>
    <w:rsid w:val="001E2938"/>
    <w:rsid w:val="00233015"/>
    <w:rsid w:val="00265AFB"/>
    <w:rsid w:val="002E08ED"/>
    <w:rsid w:val="00321CF7"/>
    <w:rsid w:val="00376D29"/>
    <w:rsid w:val="00376EE6"/>
    <w:rsid w:val="00385432"/>
    <w:rsid w:val="00487287"/>
    <w:rsid w:val="005453A3"/>
    <w:rsid w:val="00557BE4"/>
    <w:rsid w:val="005F7F7A"/>
    <w:rsid w:val="00677DBE"/>
    <w:rsid w:val="006A1D82"/>
    <w:rsid w:val="00733E73"/>
    <w:rsid w:val="007B074D"/>
    <w:rsid w:val="008244B8"/>
    <w:rsid w:val="008D2E20"/>
    <w:rsid w:val="0093386A"/>
    <w:rsid w:val="00937B01"/>
    <w:rsid w:val="00A951B3"/>
    <w:rsid w:val="00B05877"/>
    <w:rsid w:val="00C15876"/>
    <w:rsid w:val="00C44DAB"/>
    <w:rsid w:val="00C5799C"/>
    <w:rsid w:val="00C70436"/>
    <w:rsid w:val="00CA7C34"/>
    <w:rsid w:val="00D71FF2"/>
    <w:rsid w:val="00DA46A0"/>
    <w:rsid w:val="00DF0473"/>
    <w:rsid w:val="00E0183E"/>
    <w:rsid w:val="00EC00BA"/>
    <w:rsid w:val="00F4440A"/>
    <w:rsid w:val="00FD2ED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A232BA5"/>
  <w15:chartTrackingRefBased/>
  <w15:docId w15:val="{D4D9D2B0-79B1-4548-A3E4-AB26F265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0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2E08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E08E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E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E08ED"/>
    <w:rPr>
      <w:rFonts w:ascii="Times New Roman" w:eastAsia="Times New Roman" w:hAnsi="Times New Roman" w:cs="Times New Roman"/>
      <w:b/>
      <w:bCs/>
      <w:sz w:val="24"/>
      <w:szCs w:val="24"/>
    </w:rPr>
  </w:style>
  <w:style w:type="paragraph" w:styleId="NormalWeb">
    <w:name w:val="Normal (Web)"/>
    <w:basedOn w:val="Normal"/>
    <w:uiPriority w:val="99"/>
    <w:unhideWhenUsed/>
    <w:rsid w:val="002E08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08ED"/>
    <w:rPr>
      <w:b/>
      <w:bCs/>
    </w:rPr>
  </w:style>
  <w:style w:type="paragraph" w:styleId="ListParagraph">
    <w:name w:val="List Paragraph"/>
    <w:basedOn w:val="Normal"/>
    <w:uiPriority w:val="34"/>
    <w:qFormat/>
    <w:rsid w:val="00265AFB"/>
    <w:pPr>
      <w:ind w:left="720"/>
      <w:contextualSpacing/>
    </w:pPr>
  </w:style>
  <w:style w:type="character" w:customStyle="1" w:styleId="Heading1Char">
    <w:name w:val="Heading 1 Char"/>
    <w:basedOn w:val="DefaultParagraphFont"/>
    <w:link w:val="Heading1"/>
    <w:uiPriority w:val="9"/>
    <w:rsid w:val="00EC00BA"/>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C00BA"/>
    <w:rPr>
      <w:color w:val="0563C1" w:themeColor="hyperlink"/>
      <w:u w:val="single"/>
    </w:rPr>
  </w:style>
  <w:style w:type="character" w:styleId="UnresolvedMention">
    <w:name w:val="Unresolved Mention"/>
    <w:basedOn w:val="DefaultParagraphFont"/>
    <w:uiPriority w:val="99"/>
    <w:semiHidden/>
    <w:unhideWhenUsed/>
    <w:rsid w:val="00C15876"/>
    <w:rPr>
      <w:color w:val="605E5C"/>
      <w:shd w:val="clear" w:color="auto" w:fill="E1DFDD"/>
    </w:rPr>
  </w:style>
  <w:style w:type="paragraph" w:styleId="Header">
    <w:name w:val="header"/>
    <w:basedOn w:val="Normal"/>
    <w:link w:val="HeaderChar"/>
    <w:uiPriority w:val="99"/>
    <w:unhideWhenUsed/>
    <w:rsid w:val="00C15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876"/>
  </w:style>
  <w:style w:type="paragraph" w:styleId="Footer">
    <w:name w:val="footer"/>
    <w:basedOn w:val="Normal"/>
    <w:link w:val="FooterChar"/>
    <w:uiPriority w:val="99"/>
    <w:unhideWhenUsed/>
    <w:rsid w:val="00C15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8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cipd.org/uk/learning/qualifications/policies/" TargetMode="External" /><Relationship Id="rId6" Type="http://schemas.openxmlformats.org/officeDocument/2006/relationships/hyperlink" Target="https://www.omnitas.com/understanding-the-evolution-of-hrm-from-personnel-management-to-strategic-hr/" TargetMode="External" /><Relationship Id="rId7" Type="http://schemas.openxmlformats.org/officeDocument/2006/relationships/hyperlink" Target="https://ecampusontario.pressbooks.pub/busi1600/chapter/human-resources/"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6541</Words>
  <Characters>37289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Ahmed Ali</cp:lastModifiedBy>
  <cp:revision>3</cp:revision>
  <dcterms:created xsi:type="dcterms:W3CDTF">2025-02-11T09:16:00Z</dcterms:created>
  <dcterms:modified xsi:type="dcterms:W3CDTF">2025-02-11T09:17:00Z</dcterms:modified>
</cp:coreProperties>
</file>