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
    <w:p/>
    <w:p>
      <w:pPr>
        <w:spacing w:line="360" w:lineRule="auto"/>
        <w:rPr>
          <w:rFonts w:asciiTheme="majorBidi" w:hAnsiTheme="majorBidi" w:cstheme="majorBidi"/>
          <w:sz w:val="24"/>
          <w:szCs w:val="24"/>
        </w:rPr>
      </w:pPr>
      <w:r>
        <w:rPr>
          <w:rFonts w:asciiTheme="majorBidi" w:hAnsiTheme="majorBidi" w:cstheme="majorBidi"/>
          <w:sz w:val="24"/>
          <w:szCs w:val="24"/>
        </w:rPr>
        <w:t>Module Code: IBM380</w:t>
      </w:r>
    </w:p>
    <w:p>
      <w:pPr>
        <w:spacing w:line="360" w:lineRule="auto"/>
        <w:rPr>
          <w:rFonts w:asciiTheme="majorBidi" w:hAnsiTheme="majorBidi" w:cstheme="majorBidi"/>
          <w:sz w:val="24"/>
          <w:szCs w:val="24"/>
        </w:rPr>
      </w:pPr>
      <w:r>
        <w:rPr>
          <w:rFonts w:asciiTheme="majorBidi" w:hAnsiTheme="majorBidi" w:cstheme="majorBidi"/>
          <w:sz w:val="24"/>
          <w:szCs w:val="24"/>
        </w:rPr>
        <w:t>Module Title: International Business Capstone Management Project</w:t>
      </w:r>
    </w:p>
    <w:p>
      <w:pPr>
        <w:spacing w:line="360" w:lineRule="auto"/>
        <w:rPr>
          <w:rFonts w:asciiTheme="majorBidi" w:hAnsiTheme="majorBidi" w:cstheme="majorBidi"/>
          <w:sz w:val="24"/>
          <w:szCs w:val="24"/>
        </w:rPr>
      </w:pPr>
      <w:r>
        <w:rPr>
          <w:rFonts w:asciiTheme="majorBidi" w:hAnsiTheme="majorBidi" w:cstheme="majorBidi"/>
          <w:sz w:val="24"/>
          <w:szCs w:val="24"/>
        </w:rPr>
        <w:t>Assessment: International Business Capstone Management Project</w:t>
      </w:r>
    </w:p>
    <w:p>
      <w:pPr>
        <w:spacing w:line="360" w:lineRule="auto"/>
        <w:jc w:val="center"/>
        <w:rPr>
          <w:rFonts w:asciiTheme="majorBidi" w:hAnsiTheme="majorBidi" w:cstheme="majorBidi"/>
          <w:sz w:val="24"/>
          <w:szCs w:val="24"/>
        </w:rPr>
      </w:pPr>
    </w:p>
    <w:p>
      <w:pPr>
        <w:spacing w:line="360" w:lineRule="auto"/>
        <w:jc w:val="center"/>
        <w:rPr>
          <w:rFonts w:asciiTheme="majorBidi" w:hAnsiTheme="majorBidi" w:cstheme="majorBidi"/>
          <w:b/>
          <w:bCs/>
          <w:sz w:val="24"/>
          <w:szCs w:val="24"/>
        </w:rPr>
      </w:pPr>
      <w:r>
        <w:rPr>
          <w:rFonts w:asciiTheme="majorBidi" w:hAnsiTheme="majorBidi" w:cstheme="majorBidi"/>
          <w:sz w:val="24"/>
          <w:szCs w:val="24"/>
        </w:rPr>
        <w:t>Research Topic: “</w:t>
      </w:r>
      <w:r>
        <w:rPr>
          <w:rFonts w:asciiTheme="majorBidi" w:hAnsiTheme="majorBidi" w:cstheme="majorBidi"/>
          <w:b/>
          <w:bCs/>
          <w:sz w:val="24"/>
          <w:szCs w:val="24"/>
        </w:rPr>
        <w:t>Assessing the Influence of Digital Transformation on Global Supply Chain Management”</w:t>
      </w:r>
    </w:p>
    <w:p>
      <w:pPr>
        <w:spacing w:line="360" w:lineRule="auto"/>
        <w:jc w:val="center"/>
        <w:rPr>
          <w:rFonts w:asciiTheme="majorBidi" w:hAnsiTheme="majorBidi" w:cstheme="majorBidi"/>
          <w:b/>
          <w:bCs/>
          <w:sz w:val="24"/>
          <w:szCs w:val="24"/>
        </w:rPr>
      </w:pPr>
    </w:p>
    <w:p>
      <w:pPr>
        <w:rPr>
          <w:rFonts w:asciiTheme="majorBidi" w:hAnsiTheme="majorBidi" w:cstheme="majorBidi"/>
          <w:b/>
          <w:bCs/>
          <w:sz w:val="24"/>
          <w:szCs w:val="24"/>
        </w:rPr>
      </w:pPr>
      <w:r>
        <w:rPr>
          <w:rFonts w:asciiTheme="majorBidi" w:hAnsiTheme="majorBidi" w:cstheme="majorBidi"/>
          <w:b/>
          <w:bCs/>
          <w:sz w:val="24"/>
          <w:szCs w:val="24"/>
        </w:rPr>
        <w:br w:type="page"/>
      </w:r>
    </w:p>
    <w:sdt>
      <w:sdtPr>
        <w:id w:val="-2036339672"/>
        <w:docPartObj>
          <w:docPartGallery w:val="Table of Contents"/>
          <w:docPartUnique/>
        </w:docPartObj>
      </w:sdtPr>
      <w:sdtEndPr>
        <w:rPr>
          <w:rFonts w:asciiTheme="minorHAnsi" w:hAnsiTheme="minorHAnsi" w:eastAsiaTheme="minorHAnsi" w:cstheme="minorBidi"/>
          <w:b/>
          <w:bCs/>
          <w:color w:val="auto"/>
          <w:sz w:val="22"/>
          <w:szCs w:val="22"/>
        </w:rPr>
      </w:sdtEndPr>
      <w:sdtContent>
        <w:p>
          <w:pPr>
            <w:pStyle w:val="17"/>
          </w:pPr>
          <w:r>
            <w:t>Table of Contents</w:t>
          </w:r>
        </w:p>
        <w:p>
          <w:pPr>
            <w:pStyle w:val="9"/>
            <w:tabs>
              <w:tab w:val="right" w:leader="dot" w:pos="9350"/>
            </w:tabs>
          </w:pPr>
          <w:r>
            <w:fldChar w:fldCharType="begin"/>
          </w:r>
          <w:r>
            <w:instrText xml:space="preserve"> TOC \o "1-3" \h \z \u </w:instrText>
          </w:r>
          <w:r>
            <w:fldChar w:fldCharType="separate"/>
          </w:r>
          <w:r>
            <w:fldChar w:fldCharType="begin"/>
          </w:r>
          <w:r>
            <w:instrText xml:space="preserve"> HYPERLINK \l "_Toc154674064" </w:instrText>
          </w:r>
          <w:r>
            <w:fldChar w:fldCharType="separate"/>
          </w:r>
          <w:r>
            <w:rPr>
              <w:rStyle w:val="7"/>
              <w:rFonts w:asciiTheme="majorBidi" w:hAnsiTheme="majorBidi"/>
            </w:rPr>
            <w:t>Introduction</w:t>
          </w:r>
          <w:r>
            <w:tab/>
          </w:r>
          <w:r>
            <w:fldChar w:fldCharType="begin"/>
          </w:r>
          <w:r>
            <w:instrText xml:space="preserve"> PAGEREF _Toc154674064 \h </w:instrText>
          </w:r>
          <w:r>
            <w:fldChar w:fldCharType="separate"/>
          </w:r>
          <w:r>
            <w:t>3</w:t>
          </w:r>
          <w:r>
            <w:fldChar w:fldCharType="end"/>
          </w:r>
          <w:r>
            <w:fldChar w:fldCharType="end"/>
          </w:r>
        </w:p>
        <w:p>
          <w:pPr>
            <w:pStyle w:val="10"/>
            <w:tabs>
              <w:tab w:val="right" w:leader="dot" w:pos="9350"/>
            </w:tabs>
          </w:pPr>
          <w:r>
            <w:fldChar w:fldCharType="begin"/>
          </w:r>
          <w:r>
            <w:instrText xml:space="preserve"> HYPERLINK \l "_Toc154674065" </w:instrText>
          </w:r>
          <w:r>
            <w:fldChar w:fldCharType="separate"/>
          </w:r>
          <w:r>
            <w:rPr>
              <w:rStyle w:val="7"/>
              <w:rFonts w:asciiTheme="majorBidi" w:hAnsiTheme="majorBidi"/>
            </w:rPr>
            <w:t>Background and Context</w:t>
          </w:r>
          <w:r>
            <w:tab/>
          </w:r>
          <w:r>
            <w:fldChar w:fldCharType="begin"/>
          </w:r>
          <w:r>
            <w:instrText xml:space="preserve"> PAGEREF _Toc154674065 \h </w:instrText>
          </w:r>
          <w:r>
            <w:fldChar w:fldCharType="separate"/>
          </w:r>
          <w:r>
            <w:t>3</w:t>
          </w:r>
          <w:r>
            <w:fldChar w:fldCharType="end"/>
          </w:r>
          <w:r>
            <w:fldChar w:fldCharType="end"/>
          </w:r>
        </w:p>
        <w:p>
          <w:pPr>
            <w:pStyle w:val="10"/>
            <w:tabs>
              <w:tab w:val="right" w:leader="dot" w:pos="9350"/>
            </w:tabs>
          </w:pPr>
          <w:r>
            <w:fldChar w:fldCharType="begin"/>
          </w:r>
          <w:r>
            <w:instrText xml:space="preserve"> HYPERLINK \l "_Toc154674066" </w:instrText>
          </w:r>
          <w:r>
            <w:fldChar w:fldCharType="separate"/>
          </w:r>
          <w:r>
            <w:rPr>
              <w:rStyle w:val="7"/>
              <w:rFonts w:asciiTheme="majorBidi" w:hAnsiTheme="majorBidi"/>
            </w:rPr>
            <w:t>Relevance And Significance of Study</w:t>
          </w:r>
          <w:r>
            <w:tab/>
          </w:r>
          <w:r>
            <w:fldChar w:fldCharType="begin"/>
          </w:r>
          <w:r>
            <w:instrText xml:space="preserve"> PAGEREF _Toc154674066 \h </w:instrText>
          </w:r>
          <w:r>
            <w:fldChar w:fldCharType="separate"/>
          </w:r>
          <w:r>
            <w:t>3</w:t>
          </w:r>
          <w:r>
            <w:fldChar w:fldCharType="end"/>
          </w:r>
          <w:r>
            <w:fldChar w:fldCharType="end"/>
          </w:r>
        </w:p>
        <w:p>
          <w:pPr>
            <w:pStyle w:val="9"/>
            <w:tabs>
              <w:tab w:val="right" w:leader="dot" w:pos="9350"/>
            </w:tabs>
          </w:pPr>
          <w:r>
            <w:fldChar w:fldCharType="begin"/>
          </w:r>
          <w:r>
            <w:instrText xml:space="preserve"> HYPERLINK \l "_Toc154674067" </w:instrText>
          </w:r>
          <w:r>
            <w:fldChar w:fldCharType="separate"/>
          </w:r>
          <w:r>
            <w:rPr>
              <w:rStyle w:val="7"/>
              <w:rFonts w:asciiTheme="majorBidi" w:hAnsiTheme="majorBidi"/>
            </w:rPr>
            <w:t>Literature Review</w:t>
          </w:r>
          <w:r>
            <w:tab/>
          </w:r>
          <w:r>
            <w:fldChar w:fldCharType="begin"/>
          </w:r>
          <w:r>
            <w:instrText xml:space="preserve"> PAGEREF _Toc154674067 \h </w:instrText>
          </w:r>
          <w:r>
            <w:fldChar w:fldCharType="separate"/>
          </w:r>
          <w:r>
            <w:t>4</w:t>
          </w:r>
          <w:r>
            <w:fldChar w:fldCharType="end"/>
          </w:r>
          <w:r>
            <w:fldChar w:fldCharType="end"/>
          </w:r>
        </w:p>
        <w:p>
          <w:pPr>
            <w:pStyle w:val="10"/>
            <w:tabs>
              <w:tab w:val="right" w:leader="dot" w:pos="9350"/>
            </w:tabs>
          </w:pPr>
          <w:r>
            <w:fldChar w:fldCharType="begin"/>
          </w:r>
          <w:r>
            <w:instrText xml:space="preserve"> HYPERLINK \l "_Toc154674068" </w:instrText>
          </w:r>
          <w:r>
            <w:fldChar w:fldCharType="separate"/>
          </w:r>
          <w:r>
            <w:rPr>
              <w:rStyle w:val="7"/>
              <w:rFonts w:asciiTheme="majorBidi" w:hAnsiTheme="majorBidi"/>
            </w:rPr>
            <w:t>An Overview of the Trends in Digital Transformation in Supply Chain Management</w:t>
          </w:r>
          <w:r>
            <w:tab/>
          </w:r>
          <w:r>
            <w:fldChar w:fldCharType="begin"/>
          </w:r>
          <w:r>
            <w:instrText xml:space="preserve"> PAGEREF _Toc154674068 \h </w:instrText>
          </w:r>
          <w:r>
            <w:fldChar w:fldCharType="separate"/>
          </w:r>
          <w:r>
            <w:t>4</w:t>
          </w:r>
          <w:r>
            <w:fldChar w:fldCharType="end"/>
          </w:r>
          <w:r>
            <w:fldChar w:fldCharType="end"/>
          </w:r>
        </w:p>
        <w:p>
          <w:pPr>
            <w:pStyle w:val="10"/>
            <w:tabs>
              <w:tab w:val="right" w:leader="dot" w:pos="9350"/>
            </w:tabs>
          </w:pPr>
          <w:r>
            <w:fldChar w:fldCharType="begin"/>
          </w:r>
          <w:r>
            <w:instrText xml:space="preserve"> HYPERLINK \l "_Toc154674069" </w:instrText>
          </w:r>
          <w:r>
            <w:fldChar w:fldCharType="separate"/>
          </w:r>
          <w:r>
            <w:rPr>
              <w:rStyle w:val="7"/>
              <w:rFonts w:asciiTheme="majorBidi" w:hAnsiTheme="majorBidi"/>
            </w:rPr>
            <w:t>Key Concepts, Technologies, and Frameworks</w:t>
          </w:r>
          <w:r>
            <w:tab/>
          </w:r>
          <w:r>
            <w:fldChar w:fldCharType="begin"/>
          </w:r>
          <w:r>
            <w:instrText xml:space="preserve"> PAGEREF _Toc154674069 \h </w:instrText>
          </w:r>
          <w:r>
            <w:fldChar w:fldCharType="separate"/>
          </w:r>
          <w:r>
            <w:t>4</w:t>
          </w:r>
          <w:r>
            <w:fldChar w:fldCharType="end"/>
          </w:r>
          <w:r>
            <w:fldChar w:fldCharType="end"/>
          </w:r>
        </w:p>
        <w:p>
          <w:pPr>
            <w:pStyle w:val="10"/>
            <w:tabs>
              <w:tab w:val="right" w:leader="dot" w:pos="9350"/>
            </w:tabs>
          </w:pPr>
          <w:r>
            <w:fldChar w:fldCharType="begin"/>
          </w:r>
          <w:r>
            <w:instrText xml:space="preserve"> HYPERLINK \l "_Toc154674070" </w:instrText>
          </w:r>
          <w:r>
            <w:fldChar w:fldCharType="separate"/>
          </w:r>
          <w:r>
            <w:rPr>
              <w:rStyle w:val="7"/>
              <w:rFonts w:asciiTheme="majorBidi" w:hAnsiTheme="majorBidi"/>
            </w:rPr>
            <w:t>Existing Examinations and Discoveries in the Field</w:t>
          </w:r>
          <w:r>
            <w:tab/>
          </w:r>
          <w:r>
            <w:fldChar w:fldCharType="begin"/>
          </w:r>
          <w:r>
            <w:instrText xml:space="preserve"> PAGEREF _Toc154674070 \h </w:instrText>
          </w:r>
          <w:r>
            <w:fldChar w:fldCharType="separate"/>
          </w:r>
          <w:r>
            <w:t>5</w:t>
          </w:r>
          <w:r>
            <w:fldChar w:fldCharType="end"/>
          </w:r>
          <w:r>
            <w:fldChar w:fldCharType="end"/>
          </w:r>
        </w:p>
        <w:p>
          <w:pPr>
            <w:pStyle w:val="10"/>
            <w:tabs>
              <w:tab w:val="right" w:leader="dot" w:pos="9350"/>
            </w:tabs>
          </w:pPr>
          <w:r>
            <w:fldChar w:fldCharType="begin"/>
          </w:r>
          <w:r>
            <w:instrText xml:space="preserve"> HYPERLINK \l "_Toc154674071" </w:instrText>
          </w:r>
          <w:r>
            <w:fldChar w:fldCharType="separate"/>
          </w:r>
          <w:r>
            <w:rPr>
              <w:rStyle w:val="7"/>
              <w:rFonts w:asciiTheme="majorBidi" w:hAnsiTheme="majorBidi"/>
            </w:rPr>
            <w:t>Contribution to the Business World</w:t>
          </w:r>
          <w:r>
            <w:tab/>
          </w:r>
          <w:r>
            <w:fldChar w:fldCharType="begin"/>
          </w:r>
          <w:r>
            <w:instrText xml:space="preserve"> PAGEREF _Toc154674071 \h </w:instrText>
          </w:r>
          <w:r>
            <w:fldChar w:fldCharType="separate"/>
          </w:r>
          <w:r>
            <w:t>5</w:t>
          </w:r>
          <w:r>
            <w:fldChar w:fldCharType="end"/>
          </w:r>
          <w:r>
            <w:fldChar w:fldCharType="end"/>
          </w:r>
        </w:p>
        <w:p>
          <w:pPr>
            <w:pStyle w:val="10"/>
            <w:tabs>
              <w:tab w:val="right" w:leader="dot" w:pos="9350"/>
            </w:tabs>
          </w:pPr>
          <w:r>
            <w:fldChar w:fldCharType="begin"/>
          </w:r>
          <w:r>
            <w:instrText xml:space="preserve"> HYPERLINK \l "_Toc154674072" </w:instrText>
          </w:r>
          <w:r>
            <w:fldChar w:fldCharType="separate"/>
          </w:r>
          <w:r>
            <w:rPr>
              <w:rStyle w:val="7"/>
              <w:rFonts w:asciiTheme="majorBidi" w:hAnsiTheme="majorBidi"/>
            </w:rPr>
            <w:t>Digital Transformation in Global Supply Chain Management</w:t>
          </w:r>
          <w:r>
            <w:tab/>
          </w:r>
          <w:r>
            <w:fldChar w:fldCharType="begin"/>
          </w:r>
          <w:r>
            <w:instrText xml:space="preserve"> PAGEREF _Toc154674072 \h </w:instrText>
          </w:r>
          <w:r>
            <w:fldChar w:fldCharType="separate"/>
          </w:r>
          <w:r>
            <w:t>6</w:t>
          </w:r>
          <w:r>
            <w:fldChar w:fldCharType="end"/>
          </w:r>
          <w:r>
            <w:fldChar w:fldCharType="end"/>
          </w:r>
        </w:p>
        <w:p>
          <w:pPr>
            <w:pStyle w:val="10"/>
            <w:tabs>
              <w:tab w:val="right" w:leader="dot" w:pos="9350"/>
            </w:tabs>
          </w:pPr>
          <w:r>
            <w:fldChar w:fldCharType="begin"/>
          </w:r>
          <w:r>
            <w:instrText xml:space="preserve"> HYPERLINK \l "_Toc154674073" </w:instrText>
          </w:r>
          <w:r>
            <w:fldChar w:fldCharType="separate"/>
          </w:r>
          <w:r>
            <w:rPr>
              <w:rStyle w:val="7"/>
              <w:rFonts w:asciiTheme="majorBidi" w:hAnsiTheme="majorBidi"/>
            </w:rPr>
            <w:t>Identifying Opportunities</w:t>
          </w:r>
          <w:r>
            <w:tab/>
          </w:r>
          <w:r>
            <w:fldChar w:fldCharType="begin"/>
          </w:r>
          <w:r>
            <w:instrText xml:space="preserve"> PAGEREF _Toc154674073 \h </w:instrText>
          </w:r>
          <w:r>
            <w:fldChar w:fldCharType="separate"/>
          </w:r>
          <w:r>
            <w:t>7</w:t>
          </w:r>
          <w:r>
            <w:fldChar w:fldCharType="end"/>
          </w:r>
          <w:r>
            <w:fldChar w:fldCharType="end"/>
          </w:r>
        </w:p>
        <w:p>
          <w:pPr>
            <w:pStyle w:val="10"/>
            <w:tabs>
              <w:tab w:val="right" w:leader="dot" w:pos="9350"/>
            </w:tabs>
          </w:pPr>
          <w:r>
            <w:fldChar w:fldCharType="begin"/>
          </w:r>
          <w:r>
            <w:instrText xml:space="preserve"> HYPERLINK \l "_Toc154674074" </w:instrText>
          </w:r>
          <w:r>
            <w:fldChar w:fldCharType="separate"/>
          </w:r>
          <w:r>
            <w:rPr>
              <w:rStyle w:val="7"/>
              <w:rFonts w:asciiTheme="majorBidi" w:hAnsiTheme="majorBidi"/>
            </w:rPr>
            <w:t>Assessment of Challenges and Risks</w:t>
          </w:r>
          <w:r>
            <w:tab/>
          </w:r>
          <w:r>
            <w:fldChar w:fldCharType="begin"/>
          </w:r>
          <w:r>
            <w:instrText xml:space="preserve"> PAGEREF _Toc154674074 \h </w:instrText>
          </w:r>
          <w:r>
            <w:fldChar w:fldCharType="separate"/>
          </w:r>
          <w:r>
            <w:t>7</w:t>
          </w:r>
          <w:r>
            <w:fldChar w:fldCharType="end"/>
          </w:r>
          <w:r>
            <w:fldChar w:fldCharType="end"/>
          </w:r>
        </w:p>
        <w:p>
          <w:pPr>
            <w:pStyle w:val="10"/>
            <w:tabs>
              <w:tab w:val="right" w:leader="dot" w:pos="9350"/>
            </w:tabs>
          </w:pPr>
          <w:r>
            <w:fldChar w:fldCharType="begin"/>
          </w:r>
          <w:r>
            <w:instrText xml:space="preserve"> HYPERLINK \l "_Toc154674075" </w:instrText>
          </w:r>
          <w:r>
            <w:fldChar w:fldCharType="separate"/>
          </w:r>
          <w:r>
            <w:rPr>
              <w:rStyle w:val="7"/>
              <w:rFonts w:asciiTheme="majorBidi" w:hAnsiTheme="majorBidi"/>
            </w:rPr>
            <w:t>Linking Business Strategies and Theories to Real-Life Application</w:t>
          </w:r>
          <w:r>
            <w:t>s</w:t>
          </w:r>
          <w:r>
            <w:tab/>
          </w:r>
          <w:r>
            <w:fldChar w:fldCharType="begin"/>
          </w:r>
          <w:r>
            <w:instrText xml:space="preserve"> PAGEREF _Toc154674075 \h </w:instrText>
          </w:r>
          <w:r>
            <w:fldChar w:fldCharType="separate"/>
          </w:r>
          <w:r>
            <w:t>8</w:t>
          </w:r>
          <w:r>
            <w:fldChar w:fldCharType="end"/>
          </w:r>
          <w:r>
            <w:fldChar w:fldCharType="end"/>
          </w:r>
        </w:p>
        <w:p>
          <w:pPr>
            <w:pStyle w:val="11"/>
            <w:tabs>
              <w:tab w:val="right" w:leader="dot" w:pos="9350"/>
            </w:tabs>
          </w:pPr>
          <w:r>
            <w:fldChar w:fldCharType="begin"/>
          </w:r>
          <w:r>
            <w:instrText xml:space="preserve"> HYPERLINK \l "_Toc154674076" </w:instrText>
          </w:r>
          <w:r>
            <w:fldChar w:fldCharType="separate"/>
          </w:r>
          <w:r>
            <w:rPr>
              <w:rStyle w:val="7"/>
              <w:rFonts w:asciiTheme="majorBidi" w:hAnsiTheme="majorBidi"/>
            </w:rPr>
            <w:t>Theoretical Structures</w:t>
          </w:r>
          <w:r>
            <w:tab/>
          </w:r>
          <w:r>
            <w:fldChar w:fldCharType="begin"/>
          </w:r>
          <w:r>
            <w:instrText xml:space="preserve"> PAGEREF _Toc154674076 \h </w:instrText>
          </w:r>
          <w:r>
            <w:fldChar w:fldCharType="separate"/>
          </w:r>
          <w:r>
            <w:t>8</w:t>
          </w:r>
          <w:r>
            <w:fldChar w:fldCharType="end"/>
          </w:r>
          <w:r>
            <w:fldChar w:fldCharType="end"/>
          </w:r>
        </w:p>
        <w:p>
          <w:pPr>
            <w:pStyle w:val="11"/>
            <w:tabs>
              <w:tab w:val="right" w:leader="dot" w:pos="9350"/>
            </w:tabs>
          </w:pPr>
          <w:r>
            <w:fldChar w:fldCharType="begin"/>
          </w:r>
          <w:r>
            <w:instrText xml:space="preserve"> HYPERLINK \l "_Toc154674077" </w:instrText>
          </w:r>
          <w:r>
            <w:fldChar w:fldCharType="separate"/>
          </w:r>
          <w:r>
            <w:rPr>
              <w:rStyle w:val="7"/>
              <w:rFonts w:asciiTheme="majorBidi" w:hAnsiTheme="majorBidi"/>
            </w:rPr>
            <w:t>Useful Recommendations</w:t>
          </w:r>
          <w:r>
            <w:tab/>
          </w:r>
          <w:r>
            <w:fldChar w:fldCharType="begin"/>
          </w:r>
          <w:r>
            <w:instrText xml:space="preserve"> PAGEREF _Toc154674077 \h </w:instrText>
          </w:r>
          <w:r>
            <w:fldChar w:fldCharType="separate"/>
          </w:r>
          <w:r>
            <w:t>8</w:t>
          </w:r>
          <w:r>
            <w:fldChar w:fldCharType="end"/>
          </w:r>
          <w:r>
            <w:fldChar w:fldCharType="end"/>
          </w:r>
        </w:p>
        <w:p>
          <w:pPr>
            <w:pStyle w:val="11"/>
            <w:tabs>
              <w:tab w:val="right" w:leader="dot" w:pos="9350"/>
            </w:tabs>
          </w:pPr>
          <w:r>
            <w:fldChar w:fldCharType="begin"/>
          </w:r>
          <w:r>
            <w:instrText xml:space="preserve"> HYPERLINK \l "_Toc154674078" </w:instrText>
          </w:r>
          <w:r>
            <w:fldChar w:fldCharType="separate"/>
          </w:r>
          <w:r>
            <w:rPr>
              <w:rStyle w:val="7"/>
              <w:rFonts w:asciiTheme="majorBidi" w:hAnsiTheme="majorBidi"/>
            </w:rPr>
            <w:t>Suggestions for Organizations</w:t>
          </w:r>
          <w:r>
            <w:tab/>
          </w:r>
          <w:r>
            <w:fldChar w:fldCharType="begin"/>
          </w:r>
          <w:r>
            <w:instrText xml:space="preserve"> PAGEREF _Toc154674078 \h </w:instrText>
          </w:r>
          <w:r>
            <w:fldChar w:fldCharType="separate"/>
          </w:r>
          <w:r>
            <w:t>9</w:t>
          </w:r>
          <w:r>
            <w:fldChar w:fldCharType="end"/>
          </w:r>
          <w:r>
            <w:fldChar w:fldCharType="end"/>
          </w:r>
        </w:p>
        <w:p>
          <w:pPr>
            <w:pStyle w:val="9"/>
            <w:tabs>
              <w:tab w:val="right" w:leader="dot" w:pos="9350"/>
            </w:tabs>
          </w:pPr>
          <w:r>
            <w:fldChar w:fldCharType="begin"/>
          </w:r>
          <w:r>
            <w:instrText xml:space="preserve"> HYPERLINK \l "_Toc154674079" </w:instrText>
          </w:r>
          <w:r>
            <w:fldChar w:fldCharType="separate"/>
          </w:r>
          <w:r>
            <w:rPr>
              <w:rStyle w:val="7"/>
              <w:rFonts w:asciiTheme="majorBidi" w:hAnsiTheme="majorBidi"/>
            </w:rPr>
            <w:t>Methodology</w:t>
          </w:r>
          <w:r>
            <w:tab/>
          </w:r>
          <w:r>
            <w:fldChar w:fldCharType="begin"/>
          </w:r>
          <w:r>
            <w:instrText xml:space="preserve"> PAGEREF _Toc154674079 \h </w:instrText>
          </w:r>
          <w:r>
            <w:fldChar w:fldCharType="separate"/>
          </w:r>
          <w:r>
            <w:t>10</w:t>
          </w:r>
          <w:r>
            <w:fldChar w:fldCharType="end"/>
          </w:r>
          <w:r>
            <w:fldChar w:fldCharType="end"/>
          </w:r>
        </w:p>
        <w:p>
          <w:pPr>
            <w:pStyle w:val="10"/>
            <w:tabs>
              <w:tab w:val="right" w:leader="dot" w:pos="9350"/>
            </w:tabs>
          </w:pPr>
          <w:r>
            <w:fldChar w:fldCharType="begin"/>
          </w:r>
          <w:r>
            <w:instrText xml:space="preserve"> HYPERLINK \l "_Toc154674080" </w:instrText>
          </w:r>
          <w:r>
            <w:fldChar w:fldCharType="separate"/>
          </w:r>
          <w:r>
            <w:rPr>
              <w:rStyle w:val="7"/>
              <w:rFonts w:asciiTheme="majorBidi" w:hAnsiTheme="majorBidi"/>
            </w:rPr>
            <w:t>Research Approach</w:t>
          </w:r>
          <w:r>
            <w:tab/>
          </w:r>
          <w:r>
            <w:fldChar w:fldCharType="begin"/>
          </w:r>
          <w:r>
            <w:instrText xml:space="preserve"> PAGEREF _Toc154674080 \h </w:instrText>
          </w:r>
          <w:r>
            <w:fldChar w:fldCharType="separate"/>
          </w:r>
          <w:r>
            <w:t>10</w:t>
          </w:r>
          <w:r>
            <w:fldChar w:fldCharType="end"/>
          </w:r>
          <w:r>
            <w:fldChar w:fldCharType="end"/>
          </w:r>
        </w:p>
        <w:p>
          <w:pPr>
            <w:pStyle w:val="10"/>
            <w:tabs>
              <w:tab w:val="right" w:leader="dot" w:pos="9350"/>
            </w:tabs>
          </w:pPr>
          <w:r>
            <w:fldChar w:fldCharType="begin"/>
          </w:r>
          <w:r>
            <w:instrText xml:space="preserve"> HYPERLINK \l "_Toc154674081" </w:instrText>
          </w:r>
          <w:r>
            <w:fldChar w:fldCharType="separate"/>
          </w:r>
          <w:r>
            <w:rPr>
              <w:rStyle w:val="7"/>
              <w:rFonts w:asciiTheme="majorBidi" w:hAnsiTheme="majorBidi"/>
            </w:rPr>
            <w:t>Data Collection Methods</w:t>
          </w:r>
          <w:r>
            <w:tab/>
          </w:r>
          <w:r>
            <w:fldChar w:fldCharType="begin"/>
          </w:r>
          <w:r>
            <w:instrText xml:space="preserve"> PAGEREF _Toc154674081 \h </w:instrText>
          </w:r>
          <w:r>
            <w:fldChar w:fldCharType="separate"/>
          </w:r>
          <w:r>
            <w:t>10</w:t>
          </w:r>
          <w:r>
            <w:fldChar w:fldCharType="end"/>
          </w:r>
          <w:r>
            <w:fldChar w:fldCharType="end"/>
          </w:r>
        </w:p>
        <w:p>
          <w:pPr>
            <w:pStyle w:val="10"/>
            <w:tabs>
              <w:tab w:val="right" w:leader="dot" w:pos="9350"/>
            </w:tabs>
          </w:pPr>
          <w:r>
            <w:fldChar w:fldCharType="begin"/>
          </w:r>
          <w:r>
            <w:instrText xml:space="preserve"> HYPERLINK \l "_Toc154674082" </w:instrText>
          </w:r>
          <w:r>
            <w:fldChar w:fldCharType="separate"/>
          </w:r>
          <w:r>
            <w:rPr>
              <w:rStyle w:val="7"/>
              <w:rFonts w:asciiTheme="majorBidi" w:hAnsiTheme="majorBidi"/>
            </w:rPr>
            <w:t>Sampling Techniques and Rationale</w:t>
          </w:r>
          <w:r>
            <w:tab/>
          </w:r>
          <w:r>
            <w:fldChar w:fldCharType="begin"/>
          </w:r>
          <w:r>
            <w:instrText xml:space="preserve"> PAGEREF _Toc154674082 \h </w:instrText>
          </w:r>
          <w:r>
            <w:fldChar w:fldCharType="separate"/>
          </w:r>
          <w:r>
            <w:t>11</w:t>
          </w:r>
          <w:r>
            <w:fldChar w:fldCharType="end"/>
          </w:r>
          <w:r>
            <w:fldChar w:fldCharType="end"/>
          </w:r>
        </w:p>
        <w:p>
          <w:pPr>
            <w:pStyle w:val="10"/>
            <w:tabs>
              <w:tab w:val="right" w:leader="dot" w:pos="9350"/>
            </w:tabs>
          </w:pPr>
          <w:r>
            <w:fldChar w:fldCharType="begin"/>
          </w:r>
          <w:r>
            <w:instrText xml:space="preserve"> HYPERLINK \l "_Toc154674083" </w:instrText>
          </w:r>
          <w:r>
            <w:fldChar w:fldCharType="separate"/>
          </w:r>
          <w:r>
            <w:rPr>
              <w:rStyle w:val="7"/>
              <w:rFonts w:asciiTheme="majorBidi" w:hAnsiTheme="majorBidi"/>
            </w:rPr>
            <w:t>Ethical Considerations</w:t>
          </w:r>
          <w:r>
            <w:tab/>
          </w:r>
          <w:r>
            <w:fldChar w:fldCharType="begin"/>
          </w:r>
          <w:r>
            <w:instrText xml:space="preserve"> PAGEREF _Toc154674083 \h </w:instrText>
          </w:r>
          <w:r>
            <w:fldChar w:fldCharType="separate"/>
          </w:r>
          <w:r>
            <w:t>11</w:t>
          </w:r>
          <w:r>
            <w:fldChar w:fldCharType="end"/>
          </w:r>
          <w:r>
            <w:fldChar w:fldCharType="end"/>
          </w:r>
        </w:p>
        <w:p>
          <w:pPr>
            <w:pStyle w:val="9"/>
            <w:tabs>
              <w:tab w:val="right" w:leader="dot" w:pos="9350"/>
            </w:tabs>
          </w:pPr>
          <w:r>
            <w:fldChar w:fldCharType="begin"/>
          </w:r>
          <w:r>
            <w:instrText xml:space="preserve"> HYPERLINK \l "_Toc154674084" </w:instrText>
          </w:r>
          <w:r>
            <w:fldChar w:fldCharType="separate"/>
          </w:r>
          <w:r>
            <w:rPr>
              <w:rStyle w:val="7"/>
              <w:rFonts w:asciiTheme="majorBidi" w:hAnsiTheme="majorBidi"/>
            </w:rPr>
            <w:t>Results</w:t>
          </w:r>
          <w:r>
            <w:tab/>
          </w:r>
          <w:r>
            <w:fldChar w:fldCharType="begin"/>
          </w:r>
          <w:r>
            <w:instrText xml:space="preserve"> PAGEREF _Toc154674084 \h </w:instrText>
          </w:r>
          <w:r>
            <w:fldChar w:fldCharType="separate"/>
          </w:r>
          <w:r>
            <w:t>11</w:t>
          </w:r>
          <w:r>
            <w:fldChar w:fldCharType="end"/>
          </w:r>
          <w:r>
            <w:fldChar w:fldCharType="end"/>
          </w:r>
        </w:p>
        <w:p>
          <w:pPr>
            <w:pStyle w:val="9"/>
            <w:tabs>
              <w:tab w:val="right" w:leader="dot" w:pos="9350"/>
            </w:tabs>
          </w:pPr>
          <w:r>
            <w:fldChar w:fldCharType="begin"/>
          </w:r>
          <w:r>
            <w:instrText xml:space="preserve"> HYPERLINK \l "_Toc154674085" </w:instrText>
          </w:r>
          <w:r>
            <w:fldChar w:fldCharType="separate"/>
          </w:r>
          <w:r>
            <w:rPr>
              <w:rStyle w:val="7"/>
              <w:rFonts w:asciiTheme="majorBidi" w:hAnsiTheme="majorBidi"/>
            </w:rPr>
            <w:t>Conclusion</w:t>
          </w:r>
          <w:r>
            <w:tab/>
          </w:r>
          <w:r>
            <w:fldChar w:fldCharType="begin"/>
          </w:r>
          <w:r>
            <w:instrText xml:space="preserve"> PAGEREF _Toc154674085 \h </w:instrText>
          </w:r>
          <w:r>
            <w:fldChar w:fldCharType="separate"/>
          </w:r>
          <w:r>
            <w:t>12</w:t>
          </w:r>
          <w:r>
            <w:fldChar w:fldCharType="end"/>
          </w:r>
          <w:r>
            <w:fldChar w:fldCharType="end"/>
          </w:r>
        </w:p>
        <w:p>
          <w:pPr>
            <w:pStyle w:val="9"/>
            <w:tabs>
              <w:tab w:val="right" w:leader="dot" w:pos="9350"/>
            </w:tabs>
          </w:pPr>
          <w:r>
            <w:fldChar w:fldCharType="begin"/>
          </w:r>
          <w:r>
            <w:instrText xml:space="preserve"> HYPERLINK \l "_Toc154674086" </w:instrText>
          </w:r>
          <w:r>
            <w:fldChar w:fldCharType="separate"/>
          </w:r>
          <w:r>
            <w:rPr>
              <w:rStyle w:val="7"/>
              <w:rFonts w:asciiTheme="majorBidi" w:hAnsiTheme="majorBidi"/>
            </w:rPr>
            <w:t>References</w:t>
          </w:r>
          <w:r>
            <w:tab/>
          </w:r>
          <w:r>
            <w:fldChar w:fldCharType="begin"/>
          </w:r>
          <w:r>
            <w:instrText xml:space="preserve"> PAGEREF _Toc154674086 \h </w:instrText>
          </w:r>
          <w:r>
            <w:fldChar w:fldCharType="separate"/>
          </w:r>
          <w:r>
            <w:t>13</w:t>
          </w:r>
          <w:r>
            <w:fldChar w:fldCharType="end"/>
          </w:r>
          <w:r>
            <w:fldChar w:fldCharType="end"/>
          </w:r>
        </w:p>
        <w:p>
          <w:r>
            <w:rPr>
              <w:b/>
              <w:bCs/>
            </w:rPr>
            <w:fldChar w:fldCharType="end"/>
          </w:r>
        </w:p>
      </w:sdtContent>
    </w:sdt>
    <w:p>
      <w:pPr>
        <w:spacing w:line="360" w:lineRule="auto"/>
        <w:jc w:val="center"/>
        <w:rPr>
          <w:rFonts w:asciiTheme="majorBidi" w:hAnsiTheme="majorBidi" w:cstheme="majorBidi"/>
          <w:b/>
          <w:bCs/>
          <w:sz w:val="24"/>
          <w:szCs w:val="24"/>
        </w:rPr>
      </w:pPr>
    </w:p>
    <w:p>
      <w:pPr>
        <w:spacing w:line="360" w:lineRule="auto"/>
        <w:jc w:val="center"/>
        <w:rPr>
          <w:rFonts w:asciiTheme="majorBidi" w:hAnsiTheme="majorBidi" w:cstheme="majorBidi"/>
          <w:b/>
          <w:bCs/>
          <w:sz w:val="24"/>
          <w:szCs w:val="24"/>
        </w:rPr>
      </w:pPr>
    </w:p>
    <w:p>
      <w:pPr>
        <w:rPr>
          <w:rFonts w:asciiTheme="majorBidi" w:hAnsiTheme="majorBidi" w:cstheme="majorBidi"/>
          <w:b/>
          <w:bCs/>
          <w:sz w:val="24"/>
          <w:szCs w:val="24"/>
        </w:rPr>
      </w:pPr>
      <w:r>
        <w:rPr>
          <w:rFonts w:asciiTheme="majorBidi" w:hAnsiTheme="majorBidi" w:cstheme="majorBidi"/>
          <w:b/>
          <w:bCs/>
          <w:sz w:val="24"/>
          <w:szCs w:val="24"/>
        </w:rPr>
        <w:br w:type="page"/>
      </w:r>
    </w:p>
    <w:p>
      <w:pPr>
        <w:pStyle w:val="2"/>
        <w:spacing w:line="360" w:lineRule="auto"/>
        <w:jc w:val="center"/>
        <w:rPr>
          <w:rFonts w:asciiTheme="majorBidi" w:hAnsiTheme="majorBidi"/>
          <w:color w:val="auto"/>
          <w:sz w:val="24"/>
          <w:szCs w:val="24"/>
        </w:rPr>
      </w:pPr>
      <w:bookmarkStart w:id="0" w:name="_Toc154674064"/>
      <w:r>
        <w:rPr>
          <w:rFonts w:asciiTheme="majorBidi" w:hAnsiTheme="majorBidi"/>
          <w:color w:val="auto"/>
          <w:sz w:val="24"/>
          <w:szCs w:val="24"/>
        </w:rPr>
        <w:t>Introduction</w:t>
      </w:r>
      <w:bookmarkEnd w:id="0"/>
    </w:p>
    <w:p>
      <w:pPr>
        <w:spacing w:line="360" w:lineRule="auto"/>
        <w:rPr>
          <w:rFonts w:asciiTheme="majorBidi" w:hAnsiTheme="majorBidi" w:cstheme="majorBidi"/>
          <w:sz w:val="24"/>
          <w:szCs w:val="24"/>
        </w:rPr>
      </w:pPr>
      <w:r>
        <w:rPr>
          <w:rFonts w:asciiTheme="majorBidi" w:hAnsiTheme="majorBidi" w:cstheme="majorBidi"/>
          <w:sz w:val="24"/>
          <w:szCs w:val="24"/>
        </w:rPr>
        <w:t xml:space="preserve">In the contemporary worldwide business scene, the coordination of digital technologies has turned into a vital driver of development and proficiency across different ventures. Supply Chain Management (SCM) is one area where this transformation is particularly pronounced. The customary standards of supply chain tasks are being reshaped by the unavoidable impact of advanced innovations, offering extraordinary open doors and difficulties </w:t>
      </w:r>
      <w:r>
        <w:rPr>
          <w:rFonts w:asciiTheme="majorBidi" w:hAnsiTheme="majorBidi" w:cstheme="majorBidi"/>
          <w:sz w:val="24"/>
          <w:szCs w:val="24"/>
          <w:shd w:val="clear" w:color="auto" w:fill="FFFFFF"/>
        </w:rPr>
        <w:t>(Christopher &amp; Towill, 2001, p.1)</w:t>
      </w:r>
      <w:r>
        <w:rPr>
          <w:rFonts w:asciiTheme="majorBidi" w:hAnsiTheme="majorBidi" w:cstheme="majorBidi"/>
          <w:sz w:val="24"/>
          <w:szCs w:val="24"/>
        </w:rPr>
        <w:t>. This introduction gives a nuanced comprehension of the background and context of digital change in supply chain management, highlighting the importance and significance of the review.</w:t>
      </w:r>
    </w:p>
    <w:p>
      <w:pPr>
        <w:pStyle w:val="3"/>
        <w:spacing w:line="360" w:lineRule="auto"/>
        <w:rPr>
          <w:rFonts w:asciiTheme="majorBidi" w:hAnsiTheme="majorBidi"/>
          <w:color w:val="auto"/>
          <w:sz w:val="24"/>
          <w:szCs w:val="24"/>
        </w:rPr>
      </w:pPr>
      <w:bookmarkStart w:id="1" w:name="_Toc154674065"/>
      <w:r>
        <w:rPr>
          <w:rFonts w:asciiTheme="majorBidi" w:hAnsiTheme="majorBidi"/>
          <w:color w:val="auto"/>
          <w:sz w:val="24"/>
          <w:szCs w:val="24"/>
        </w:rPr>
        <w:t>Background and Context</w:t>
      </w:r>
      <w:bookmarkEnd w:id="1"/>
    </w:p>
    <w:p>
      <w:pPr>
        <w:spacing w:line="360" w:lineRule="auto"/>
        <w:rPr>
          <w:rFonts w:asciiTheme="majorBidi" w:hAnsiTheme="majorBidi" w:cstheme="majorBidi"/>
          <w:sz w:val="24"/>
          <w:szCs w:val="24"/>
        </w:rPr>
      </w:pPr>
      <w:r>
        <w:rPr>
          <w:rFonts w:asciiTheme="majorBidi" w:hAnsiTheme="majorBidi" w:cstheme="majorBidi"/>
          <w:sz w:val="24"/>
          <w:szCs w:val="24"/>
        </w:rPr>
        <w:t xml:space="preserve">The development of computerized innovations, like the Internet of Things (IoT), Artificial Intelligence (AI), Blockchain, and Big Data examination, has introduced another period in supply chain management. These advancements can upset the manner in which associations deal with their obtaining, creation, planned operations, and dissemination processes. The digitization of supply chains works with continuous perceivability, straightforwardness, and improved dynamic abilities, eventually advancing the whole value chain </w:t>
      </w:r>
      <w:r>
        <w:rPr>
          <w:rFonts w:asciiTheme="majorBidi" w:hAnsiTheme="majorBidi" w:cstheme="majorBidi"/>
          <w:sz w:val="24"/>
          <w:szCs w:val="24"/>
          <w:shd w:val="clear" w:color="auto" w:fill="FFFFFF"/>
        </w:rPr>
        <w:t>(BDO, 2021)</w:t>
      </w:r>
      <w:r>
        <w:rPr>
          <w:rFonts w:asciiTheme="majorBidi" w:hAnsiTheme="majorBidi" w:cstheme="majorBidi"/>
          <w:sz w:val="24"/>
          <w:szCs w:val="24"/>
        </w:rPr>
        <w:t>.</w:t>
      </w:r>
    </w:p>
    <w:p>
      <w:pPr>
        <w:spacing w:line="360" w:lineRule="auto"/>
        <w:rPr>
          <w:rFonts w:asciiTheme="majorBidi" w:hAnsiTheme="majorBidi" w:cstheme="majorBidi"/>
          <w:sz w:val="24"/>
          <w:szCs w:val="24"/>
        </w:rPr>
      </w:pPr>
      <w:r>
        <w:rPr>
          <w:rFonts w:asciiTheme="majorBidi" w:hAnsiTheme="majorBidi" w:cstheme="majorBidi"/>
          <w:sz w:val="24"/>
          <w:szCs w:val="24"/>
        </w:rPr>
        <w:t xml:space="preserve">As associations progressively embrace the computerized change venture, the inventory network arises as a point of convergence for development. IoT sensors, for instance, provide real-time location, temperature, and condition data, enabling the supply chain tracking of goods. Computer-based intelligence calculations can dissect immense datasets to anticipate request designs, improve stock levels, and smooth out creation plans. Blockchain innovation guarantees secure and straightforward exchanges, especially in complex worldwide stock organizations </w:t>
      </w:r>
      <w:bookmarkStart w:id="2" w:name="_Hlk154649845"/>
      <w:r>
        <w:rPr>
          <w:rFonts w:asciiTheme="majorBidi" w:hAnsiTheme="majorBidi" w:cstheme="majorBidi"/>
          <w:sz w:val="24"/>
          <w:szCs w:val="24"/>
          <w:shd w:val="clear" w:color="auto" w:fill="FFFFFF"/>
        </w:rPr>
        <w:t>(Ivanov, 2020, p.11)</w:t>
      </w:r>
      <w:r>
        <w:rPr>
          <w:rFonts w:asciiTheme="majorBidi" w:hAnsiTheme="majorBidi" w:cstheme="majorBidi"/>
          <w:sz w:val="24"/>
          <w:szCs w:val="24"/>
        </w:rPr>
        <w:t>.</w:t>
      </w:r>
    </w:p>
    <w:bookmarkEnd w:id="2"/>
    <w:p>
      <w:pPr>
        <w:pStyle w:val="3"/>
        <w:spacing w:line="360" w:lineRule="auto"/>
        <w:rPr>
          <w:rFonts w:asciiTheme="majorBidi" w:hAnsiTheme="majorBidi"/>
          <w:color w:val="auto"/>
          <w:sz w:val="24"/>
          <w:szCs w:val="24"/>
        </w:rPr>
      </w:pPr>
      <w:bookmarkStart w:id="3" w:name="_Toc154674066"/>
      <w:r>
        <w:rPr>
          <w:rFonts w:asciiTheme="majorBidi" w:hAnsiTheme="majorBidi"/>
          <w:color w:val="auto"/>
          <w:sz w:val="24"/>
          <w:szCs w:val="24"/>
        </w:rPr>
        <w:t>Relevance And Significance of The Study</w:t>
      </w:r>
      <w:bookmarkEnd w:id="3"/>
      <w:r>
        <w:rPr>
          <w:rFonts w:asciiTheme="majorBidi" w:hAnsiTheme="majorBidi"/>
          <w:color w:val="auto"/>
          <w:sz w:val="24"/>
          <w:szCs w:val="24"/>
        </w:rPr>
        <w:t xml:space="preserve"> </w:t>
      </w:r>
    </w:p>
    <w:p>
      <w:pPr>
        <w:spacing w:line="360" w:lineRule="auto"/>
        <w:rPr>
          <w:rFonts w:asciiTheme="majorBidi" w:hAnsiTheme="majorBidi" w:cstheme="majorBidi"/>
          <w:sz w:val="24"/>
          <w:szCs w:val="24"/>
        </w:rPr>
      </w:pPr>
      <w:r>
        <w:rPr>
          <w:rFonts w:asciiTheme="majorBidi" w:hAnsiTheme="majorBidi" w:cstheme="majorBidi"/>
          <w:sz w:val="24"/>
          <w:szCs w:val="24"/>
        </w:rPr>
        <w:t xml:space="preserve">Understanding how digital transformation affects global supply chain management is more than just an academic pursuit; it is also a crucial requirement for businesses that want to succeed in the digital age. The study's significance lies in its potential to shed light on how digital technologies have changed traditional supply chain models. Bits of knowledge acquired from this exploration can engage organizations to pursue informed choices, adjust their procedures, and strap the maximum capacity of computerized devices to acquire an upper hand in the worldwide market </w:t>
      </w:r>
      <w:r>
        <w:rPr>
          <w:rFonts w:asciiTheme="majorBidi" w:hAnsiTheme="majorBidi" w:cstheme="majorBidi"/>
          <w:sz w:val="24"/>
          <w:szCs w:val="24"/>
          <w:shd w:val="clear" w:color="auto" w:fill="FFFFFF"/>
        </w:rPr>
        <w:t>(Ning &amp; Yao, 2023, p.3)</w:t>
      </w:r>
      <w:r>
        <w:rPr>
          <w:rFonts w:asciiTheme="majorBidi" w:hAnsiTheme="majorBidi" w:cstheme="majorBidi"/>
          <w:sz w:val="24"/>
          <w:szCs w:val="24"/>
        </w:rPr>
        <w:t>.</w:t>
      </w:r>
    </w:p>
    <w:p>
      <w:pPr>
        <w:pStyle w:val="3"/>
        <w:spacing w:line="360" w:lineRule="auto"/>
        <w:rPr>
          <w:rFonts w:asciiTheme="majorBidi" w:hAnsiTheme="majorBidi"/>
          <w:color w:val="auto"/>
          <w:sz w:val="24"/>
          <w:szCs w:val="24"/>
        </w:rPr>
      </w:pPr>
      <w:r>
        <w:rPr>
          <w:rFonts w:asciiTheme="majorBidi" w:hAnsiTheme="majorBidi"/>
          <w:color w:val="auto"/>
          <w:sz w:val="24"/>
          <w:szCs w:val="24"/>
        </w:rPr>
        <w:t>Research Objectives</w:t>
      </w:r>
    </w:p>
    <w:p>
      <w:pPr>
        <w:numPr>
          <w:ilvl w:val="0"/>
          <w:numId w:val="1"/>
        </w:numPr>
        <w:spacing w:line="36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Investigate and examine contemporary </w:t>
      </w:r>
      <w:r>
        <w:rPr>
          <w:rFonts w:hint="default" w:ascii="Times New Roman" w:hAnsi="Times New Roman" w:cs="Times New Roman"/>
          <w:sz w:val="24"/>
          <w:szCs w:val="24"/>
          <w:lang w:val="en-US"/>
        </w:rPr>
        <w:t xml:space="preserve">literature </w:t>
      </w:r>
      <w:r>
        <w:rPr>
          <w:rFonts w:hint="default" w:ascii="Times New Roman" w:hAnsi="Times New Roman" w:cs="Times New Roman"/>
          <w:sz w:val="24"/>
          <w:szCs w:val="24"/>
        </w:rPr>
        <w:t xml:space="preserve">to observe patterns in </w:t>
      </w:r>
      <w:r>
        <w:rPr>
          <w:rFonts w:hint="default" w:ascii="Times New Roman" w:hAnsi="Times New Roman" w:cs="Times New Roman"/>
          <w:sz w:val="24"/>
          <w:szCs w:val="24"/>
          <w:lang w:val="en-US"/>
        </w:rPr>
        <w:t>digital transformation in supply chain management.</w:t>
      </w:r>
    </w:p>
    <w:p>
      <w:pPr>
        <w:numPr>
          <w:ilvl w:val="0"/>
          <w:numId w:val="1"/>
        </w:numPr>
        <w:spacing w:line="360" w:lineRule="auto"/>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Analyze key ideas and theoretical frameworks related to digital transformation, such as resilient models and demand-driven supply chains. </w:t>
      </w:r>
    </w:p>
    <w:p>
      <w:pPr>
        <w:numPr>
          <w:ilvl w:val="0"/>
          <w:numId w:val="1"/>
        </w:numPr>
        <w:spacing w:line="360" w:lineRule="auto"/>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Combine discoveries to grasp the present status of information, recognizing research </w:t>
      </w:r>
      <w:r>
        <w:rPr>
          <w:rFonts w:hint="default" w:ascii="Times New Roman" w:hAnsi="Times New Roman" w:cs="Times New Roman"/>
          <w:sz w:val="24"/>
          <w:szCs w:val="24"/>
          <w:lang w:val="en-US"/>
        </w:rPr>
        <w:t xml:space="preserve">gaps </w:t>
      </w:r>
      <w:r>
        <w:rPr>
          <w:rFonts w:hint="default" w:ascii="Times New Roman" w:hAnsi="Times New Roman" w:cs="Times New Roman"/>
          <w:sz w:val="24"/>
          <w:szCs w:val="24"/>
        </w:rPr>
        <w:t>for an exhaustive investigation of chances and difficulties.</w:t>
      </w:r>
    </w:p>
    <w:p>
      <w:pPr>
        <w:pStyle w:val="2"/>
        <w:spacing w:line="360" w:lineRule="auto"/>
        <w:jc w:val="center"/>
        <w:rPr>
          <w:rFonts w:asciiTheme="majorBidi" w:hAnsiTheme="majorBidi"/>
          <w:color w:val="auto"/>
          <w:sz w:val="24"/>
          <w:szCs w:val="24"/>
        </w:rPr>
      </w:pPr>
      <w:bookmarkStart w:id="4" w:name="_Toc154674067"/>
      <w:r>
        <w:rPr>
          <w:rFonts w:asciiTheme="majorBidi" w:hAnsiTheme="majorBidi"/>
          <w:color w:val="auto"/>
          <w:sz w:val="24"/>
          <w:szCs w:val="24"/>
        </w:rPr>
        <w:t>Literature Review</w:t>
      </w:r>
      <w:bookmarkEnd w:id="4"/>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The </w:t>
      </w:r>
      <w:r>
        <w:rPr>
          <w:rFonts w:hint="default" w:ascii="Times New Roman" w:hAnsi="Times New Roman" w:cs="Times New Roman"/>
          <w:sz w:val="24"/>
          <w:szCs w:val="24"/>
          <w:lang w:val="en-US"/>
        </w:rPr>
        <w:t xml:space="preserve">literature review </w:t>
      </w:r>
      <w:r>
        <w:rPr>
          <w:rFonts w:hint="default" w:ascii="Times New Roman" w:hAnsi="Times New Roman" w:cs="Times New Roman"/>
          <w:sz w:val="24"/>
          <w:szCs w:val="24"/>
        </w:rPr>
        <w:t xml:space="preserve">embodying </w:t>
      </w:r>
      <w:r>
        <w:rPr>
          <w:rFonts w:hint="default" w:ascii="Times New Roman" w:hAnsi="Times New Roman" w:cs="Times New Roman"/>
          <w:sz w:val="24"/>
          <w:szCs w:val="24"/>
          <w:lang w:val="en-US"/>
        </w:rPr>
        <w:t xml:space="preserve">digital transformation in supply chain management </w:t>
      </w:r>
      <w:r>
        <w:rPr>
          <w:rFonts w:hint="default" w:ascii="Times New Roman" w:hAnsi="Times New Roman" w:cs="Times New Roman"/>
          <w:sz w:val="24"/>
          <w:szCs w:val="24"/>
        </w:rPr>
        <w:t>(SCM) paints a striking embroidery of arising patterns, central ideas, and mechanical systems.</w:t>
      </w:r>
    </w:p>
    <w:p>
      <w:pPr>
        <w:pStyle w:val="3"/>
        <w:spacing w:line="360" w:lineRule="auto"/>
        <w:rPr>
          <w:rFonts w:asciiTheme="majorBidi" w:hAnsiTheme="majorBidi"/>
          <w:color w:val="auto"/>
          <w:sz w:val="24"/>
          <w:szCs w:val="24"/>
        </w:rPr>
      </w:pPr>
      <w:bookmarkStart w:id="5" w:name="_Toc154674068"/>
      <w:r>
        <w:rPr>
          <w:rFonts w:asciiTheme="majorBidi" w:hAnsiTheme="majorBidi"/>
          <w:color w:val="auto"/>
          <w:sz w:val="24"/>
          <w:szCs w:val="24"/>
        </w:rPr>
        <w:t>An Overview of the Trends in Digital Transformation in Supply Chain Management</w:t>
      </w:r>
      <w:bookmarkEnd w:id="5"/>
      <w:r>
        <w:rPr>
          <w:rFonts w:asciiTheme="majorBidi" w:hAnsiTheme="majorBidi"/>
          <w:color w:val="auto"/>
          <w:sz w:val="24"/>
          <w:szCs w:val="24"/>
        </w:rPr>
        <w:t xml:space="preserve"> </w:t>
      </w:r>
    </w:p>
    <w:p>
      <w:pPr>
        <w:spacing w:line="360" w:lineRule="auto"/>
        <w:rPr>
          <w:rFonts w:asciiTheme="majorBidi" w:hAnsiTheme="majorBidi" w:cstheme="majorBidi"/>
          <w:sz w:val="24"/>
          <w:szCs w:val="24"/>
        </w:rPr>
      </w:pPr>
      <w:r>
        <w:rPr>
          <w:rFonts w:asciiTheme="majorBidi" w:hAnsiTheme="majorBidi" w:cstheme="majorBidi"/>
          <w:sz w:val="24"/>
          <w:szCs w:val="24"/>
        </w:rPr>
        <w:t xml:space="preserve">Wang et al. (2016, p.98) emphasize AI's role in predictive analytics, inventory management, and demand forecasting. AI calculations dissect verifiable information to reveal designs, empowering associations to estimate requests all the more precisely and adjust stock levels in like manner. Blockchain innovation has arisen as a problematic power, guaranteeing straightforwardness and security in supply chain exchanges. According to </w:t>
      </w:r>
      <w:r>
        <w:rPr>
          <w:rFonts w:asciiTheme="majorBidi" w:hAnsiTheme="majorBidi" w:cstheme="majorBidi"/>
          <w:sz w:val="24"/>
          <w:szCs w:val="24"/>
          <w:shd w:val="clear" w:color="auto" w:fill="FFFFFF"/>
        </w:rPr>
        <w:t>Haque et al. (2023, p.2)</w:t>
      </w:r>
      <w:r>
        <w:rPr>
          <w:rFonts w:asciiTheme="majorBidi" w:hAnsiTheme="majorBidi" w:cstheme="majorBidi"/>
          <w:sz w:val="24"/>
          <w:szCs w:val="24"/>
        </w:rPr>
        <w:t>, the decentralized and tamper-resistant nature of blockchain improves traceability, lowers the likelihood of fraud, and ensures the integrity of global supply network transactions.</w:t>
      </w:r>
    </w:p>
    <w:p>
      <w:pPr>
        <w:pStyle w:val="3"/>
        <w:spacing w:line="360" w:lineRule="auto"/>
        <w:rPr>
          <w:rFonts w:asciiTheme="majorBidi" w:hAnsiTheme="majorBidi"/>
          <w:color w:val="auto"/>
          <w:sz w:val="24"/>
          <w:szCs w:val="24"/>
        </w:rPr>
      </w:pPr>
      <w:bookmarkStart w:id="6" w:name="_Toc154674069"/>
      <w:r>
        <w:rPr>
          <w:rFonts w:asciiTheme="majorBidi" w:hAnsiTheme="majorBidi"/>
          <w:color w:val="auto"/>
          <w:sz w:val="24"/>
          <w:szCs w:val="24"/>
        </w:rPr>
        <w:t>Key Concepts, Technologies, and Frameworks</w:t>
      </w:r>
      <w:bookmarkEnd w:id="6"/>
    </w:p>
    <w:p>
      <w:pPr>
        <w:spacing w:line="360" w:lineRule="auto"/>
        <w:rPr>
          <w:rFonts w:asciiTheme="majorBidi" w:hAnsiTheme="majorBidi" w:cstheme="majorBidi"/>
          <w:sz w:val="24"/>
          <w:szCs w:val="24"/>
        </w:rPr>
      </w:pPr>
    </w:p>
    <w:p>
      <w:pPr>
        <w:spacing w:line="360" w:lineRule="auto"/>
        <w:rPr>
          <w:rFonts w:asciiTheme="majorBidi" w:hAnsiTheme="majorBidi" w:cstheme="majorBidi"/>
          <w:sz w:val="24"/>
          <w:szCs w:val="24"/>
        </w:rPr>
      </w:pPr>
      <w:r>
        <w:rPr>
          <w:rFonts w:asciiTheme="majorBidi" w:hAnsiTheme="majorBidi" w:cstheme="majorBidi"/>
          <w:sz w:val="24"/>
          <w:szCs w:val="24"/>
        </w:rPr>
        <w:t>End-to-end visibility, demand-driven supply chains, and customer centricity are fundamental concepts that are essential to comprehending digital transformation in supply chain management. According to Stock &amp; Boyer (2009, p.691), the idea of end-to-end visibility emphasizes the significance of real-time data sharing throughout the entire supply chain. This permeability empowers partners to expect disturbances, streamline stock levels, and upgrade general store network responsiveness.</w:t>
      </w:r>
    </w:p>
    <w:p>
      <w:pPr>
        <w:spacing w:line="360" w:lineRule="auto"/>
        <w:rPr>
          <w:rFonts w:asciiTheme="majorBidi" w:hAnsiTheme="majorBidi" w:cstheme="majorBidi"/>
          <w:sz w:val="24"/>
          <w:szCs w:val="24"/>
        </w:rPr>
      </w:pPr>
      <w:r>
        <w:rPr>
          <w:rFonts w:asciiTheme="majorBidi" w:hAnsiTheme="majorBidi" w:cstheme="majorBidi"/>
          <w:sz w:val="24"/>
          <w:szCs w:val="24"/>
        </w:rPr>
        <w:t xml:space="preserve">Request-driven supply chains, as explained by </w:t>
      </w:r>
      <w:r>
        <w:rPr>
          <w:rFonts w:asciiTheme="majorBidi" w:hAnsiTheme="majorBidi" w:cstheme="majorBidi"/>
          <w:sz w:val="24"/>
          <w:szCs w:val="24"/>
          <w:shd w:val="clear" w:color="auto" w:fill="FFFFFF"/>
        </w:rPr>
        <w:t xml:space="preserve">Mangan &amp; Lalwani (2016, p.35), </w:t>
      </w:r>
      <w:r>
        <w:rPr>
          <w:rFonts w:asciiTheme="majorBidi" w:hAnsiTheme="majorBidi" w:cstheme="majorBidi"/>
          <w:sz w:val="24"/>
          <w:szCs w:val="24"/>
        </w:rPr>
        <w:t>concentrate on matching production and distribution to actual demand from customers. Computerized advancements assume a critical part in empowering associations to catch, break down, and follow up on client request information continuously, cultivating a more versatile and client-driven approach.</w:t>
      </w:r>
    </w:p>
    <w:p>
      <w:pPr>
        <w:pStyle w:val="3"/>
        <w:spacing w:line="360" w:lineRule="auto"/>
        <w:rPr>
          <w:rFonts w:asciiTheme="majorBidi" w:hAnsiTheme="majorBidi"/>
          <w:color w:val="auto"/>
          <w:sz w:val="24"/>
          <w:szCs w:val="24"/>
        </w:rPr>
      </w:pPr>
      <w:bookmarkStart w:id="7" w:name="_Toc154674070"/>
      <w:r>
        <w:rPr>
          <w:rFonts w:asciiTheme="majorBidi" w:hAnsiTheme="majorBidi"/>
          <w:color w:val="auto"/>
          <w:sz w:val="24"/>
          <w:szCs w:val="24"/>
        </w:rPr>
        <w:t>Existing Examinations and Discoveries in the Field</w:t>
      </w:r>
      <w:bookmarkEnd w:id="7"/>
    </w:p>
    <w:p>
      <w:pPr>
        <w:spacing w:line="360" w:lineRule="auto"/>
        <w:rPr>
          <w:rFonts w:asciiTheme="majorBidi" w:hAnsiTheme="majorBidi" w:cstheme="majorBidi"/>
          <w:sz w:val="24"/>
          <w:szCs w:val="24"/>
        </w:rPr>
      </w:pPr>
      <w:r>
        <w:rPr>
          <w:rFonts w:asciiTheme="majorBidi" w:hAnsiTheme="majorBidi" w:cstheme="majorBidi"/>
          <w:sz w:val="24"/>
          <w:szCs w:val="24"/>
        </w:rPr>
        <w:t>Various examinations add to the comprehension of digital transformation in supply chain management. Ivanov's (2020, p.12) reenactment put together an examination with respect to the effects of pestilence chapters on worldwide supply chains, for example, the Coronavirus pandemic, highlighting the significance of computerized advances in improving store network versatility.</w:t>
      </w:r>
    </w:p>
    <w:p>
      <w:pPr>
        <w:spacing w:line="360" w:lineRule="auto"/>
        <w:rPr>
          <w:rFonts w:asciiTheme="majorBidi" w:hAnsiTheme="majorBidi" w:cstheme="majorBidi"/>
          <w:sz w:val="24"/>
          <w:szCs w:val="24"/>
        </w:rPr>
      </w:pPr>
      <w:r>
        <w:rPr>
          <w:rFonts w:asciiTheme="majorBidi" w:hAnsiTheme="majorBidi" w:cstheme="majorBidi"/>
          <w:sz w:val="24"/>
          <w:szCs w:val="24"/>
        </w:rPr>
        <w:t xml:space="preserve">The World Economic Forum's report on the Future of Production (2018) gives bits of knowledge into the more extensive ramifications of Industry 4.0 advancements, underlining the requirement for cooperative computerized environments in worldwide stock chains </w:t>
      </w:r>
      <w:r>
        <w:rPr>
          <w:rFonts w:asciiTheme="majorBidi" w:hAnsiTheme="majorBidi" w:cstheme="majorBidi"/>
          <w:sz w:val="24"/>
          <w:szCs w:val="24"/>
          <w:shd w:val="clear" w:color="auto" w:fill="FFFFFF"/>
        </w:rPr>
        <w:t>(World Economic Forum, 2018)</w:t>
      </w:r>
      <w:r>
        <w:rPr>
          <w:rFonts w:asciiTheme="majorBidi" w:hAnsiTheme="majorBidi" w:cstheme="majorBidi"/>
          <w:sz w:val="24"/>
          <w:szCs w:val="24"/>
        </w:rPr>
        <w:t>.</w:t>
      </w:r>
    </w:p>
    <w:p>
      <w:pPr>
        <w:pStyle w:val="3"/>
        <w:spacing w:line="360" w:lineRule="auto"/>
        <w:rPr>
          <w:rFonts w:asciiTheme="majorBidi" w:hAnsiTheme="majorBidi"/>
          <w:color w:val="auto"/>
          <w:sz w:val="24"/>
          <w:szCs w:val="24"/>
        </w:rPr>
      </w:pPr>
      <w:bookmarkStart w:id="8" w:name="_Toc154674071"/>
      <w:r>
        <w:rPr>
          <w:rFonts w:asciiTheme="majorBidi" w:hAnsiTheme="majorBidi"/>
          <w:color w:val="auto"/>
          <w:sz w:val="24"/>
          <w:szCs w:val="24"/>
        </w:rPr>
        <w:t>Contribution to the Business World</w:t>
      </w:r>
      <w:bookmarkEnd w:id="8"/>
    </w:p>
    <w:p>
      <w:pPr>
        <w:spacing w:line="360" w:lineRule="auto"/>
        <w:rPr>
          <w:rFonts w:asciiTheme="majorBidi" w:hAnsiTheme="majorBidi" w:cstheme="majorBidi"/>
          <w:sz w:val="24"/>
          <w:szCs w:val="24"/>
        </w:rPr>
      </w:pPr>
      <w:r>
        <w:rPr>
          <w:rFonts w:asciiTheme="majorBidi" w:hAnsiTheme="majorBidi" w:cstheme="majorBidi"/>
          <w:sz w:val="24"/>
          <w:szCs w:val="24"/>
        </w:rPr>
        <w:t xml:space="preserve">The examination of "Assessing the Influence of Digital Transformation on Global Supply Chain Management" makes a significant commitment to the current collection of information in more than one way. By leading an efficient survey of current literature, the review incorporates and combines different bits of knowledge, giving a thorough comprehension of the effect of computerized change on worldwide inventory chains. The joining of experiences from different respectable sources assists with building a firm story that adds profundity to the insightful talk on this essential subject. Besides, the examination contributes functional applications for organizations and industry partners. The bits of knowledge acquired from the review propose significant proposals for associations trying to explore the intricacies of advanced change in their production network processes. For instance, proposals might incorporate the essential reception of explicit advancements like IoT or simulated intelligence, the execution of solid systems, and the significance of network safety measures. These reasonable applications engage organizations to settle on informed choices, improve functional proficiency, and position themselves thoughtfully in an undeniably digitized worldwide commercial centre </w:t>
      </w:r>
      <w:r>
        <w:rPr>
          <w:rFonts w:asciiTheme="majorBidi" w:hAnsiTheme="majorBidi" w:cstheme="majorBidi"/>
          <w:sz w:val="24"/>
          <w:szCs w:val="24"/>
          <w:shd w:val="clear" w:color="auto" w:fill="FFFFFF"/>
        </w:rPr>
        <w:t>(Singh, 2021)</w:t>
      </w:r>
      <w:r>
        <w:rPr>
          <w:rFonts w:asciiTheme="majorBidi" w:hAnsiTheme="majorBidi" w:cstheme="majorBidi"/>
          <w:sz w:val="24"/>
          <w:szCs w:val="24"/>
        </w:rPr>
        <w:t>.</w:t>
      </w:r>
    </w:p>
    <w:p>
      <w:pPr>
        <w:pStyle w:val="3"/>
        <w:spacing w:line="360" w:lineRule="auto"/>
        <w:rPr>
          <w:rFonts w:asciiTheme="majorBidi" w:hAnsiTheme="majorBidi"/>
          <w:color w:val="auto"/>
          <w:sz w:val="24"/>
          <w:szCs w:val="24"/>
        </w:rPr>
      </w:pPr>
      <w:bookmarkStart w:id="9" w:name="_Toc154674072"/>
      <w:r>
        <w:rPr>
          <w:rFonts w:asciiTheme="majorBidi" w:hAnsiTheme="majorBidi"/>
          <w:color w:val="auto"/>
          <w:sz w:val="24"/>
          <w:szCs w:val="24"/>
        </w:rPr>
        <w:t>Digital Transformation in Global Supply Chain Management</w:t>
      </w:r>
      <w:bookmarkEnd w:id="9"/>
    </w:p>
    <w:p>
      <w:pPr>
        <w:spacing w:line="360" w:lineRule="auto"/>
        <w:rPr>
          <w:rFonts w:asciiTheme="majorBidi" w:hAnsiTheme="majorBidi" w:cstheme="majorBidi"/>
          <w:sz w:val="24"/>
          <w:szCs w:val="24"/>
        </w:rPr>
      </w:pPr>
      <w:r>
        <w:rPr>
          <w:rFonts w:asciiTheme="majorBidi" w:hAnsiTheme="majorBidi" w:cstheme="majorBidi"/>
          <w:sz w:val="24"/>
          <w:szCs w:val="24"/>
        </w:rPr>
        <w:t>Computerized advancements have arisen as extraordinary incentives, reshaping the scene of worldwide supply chain management (SCM) across different stages, from obtaining to circulation. This segment investigates the significant effect of computerized change on each phase of the store network, distinguishes open doors emerging from this change in perspective, and analyzes the difficulties and potential dangers related to the coordination of advanced innovations.</w:t>
      </w:r>
    </w:p>
    <w:p>
      <w:pPr>
        <w:pStyle w:val="16"/>
        <w:numPr>
          <w:ilvl w:val="0"/>
          <w:numId w:val="2"/>
        </w:numPr>
        <w:spacing w:line="360" w:lineRule="auto"/>
        <w:rPr>
          <w:rFonts w:asciiTheme="majorBidi" w:hAnsiTheme="majorBidi" w:cstheme="majorBidi"/>
          <w:sz w:val="24"/>
          <w:szCs w:val="24"/>
        </w:rPr>
      </w:pPr>
      <w:r>
        <w:rPr>
          <w:rFonts w:asciiTheme="majorBidi" w:hAnsiTheme="majorBidi" w:cstheme="majorBidi"/>
          <w:sz w:val="24"/>
          <w:szCs w:val="24"/>
        </w:rPr>
        <w:t>Sourcing: In the domain of obtaining, computerized change works with further developed provider relationship management and upgraded perceivability. Blockchain technology ensures transparency in the sourcing process, enabling businesses to trace raw material origins and verify product authenticity (Ivanov, 2020, p.12). This not only guarantees consistency with moral and maintainability norms but also mitigates the risk of fake products entering the store network.</w:t>
      </w:r>
    </w:p>
    <w:p>
      <w:pPr>
        <w:pStyle w:val="16"/>
        <w:numPr>
          <w:ilvl w:val="0"/>
          <w:numId w:val="2"/>
        </w:numPr>
        <w:spacing w:line="360" w:lineRule="auto"/>
        <w:rPr>
          <w:rFonts w:asciiTheme="majorBidi" w:hAnsiTheme="majorBidi" w:cstheme="majorBidi"/>
          <w:sz w:val="24"/>
          <w:szCs w:val="24"/>
        </w:rPr>
      </w:pPr>
      <w:r>
        <w:rPr>
          <w:rFonts w:asciiTheme="majorBidi" w:hAnsiTheme="majorBidi" w:cstheme="majorBidi"/>
          <w:sz w:val="24"/>
          <w:szCs w:val="24"/>
        </w:rPr>
        <w:t>Production: Production procedures have been transformed by digital technologies, particularly the Internet of Things (IoT) and artificial intelligence (AI). IoT sensors implanted in assembling gear give continuous information on machine execution, empowering prescient support and diminishing free time (Wang et al., 2016, p.98). Artificial intelligence calculations enhance creation plans, guaranteeing productive asset usage and limiting waste. The outcome is a lighter and more savvy creation climate.</w:t>
      </w:r>
    </w:p>
    <w:p>
      <w:pPr>
        <w:pStyle w:val="16"/>
        <w:numPr>
          <w:ilvl w:val="0"/>
          <w:numId w:val="2"/>
        </w:numPr>
        <w:spacing w:line="360" w:lineRule="auto"/>
        <w:rPr>
          <w:rFonts w:asciiTheme="majorBidi" w:hAnsiTheme="majorBidi" w:cstheme="majorBidi"/>
          <w:sz w:val="24"/>
          <w:szCs w:val="24"/>
        </w:rPr>
      </w:pPr>
      <w:r>
        <w:rPr>
          <w:rFonts w:asciiTheme="majorBidi" w:hAnsiTheme="majorBidi" w:cstheme="majorBidi"/>
          <w:sz w:val="24"/>
          <w:szCs w:val="24"/>
        </w:rPr>
        <w:t xml:space="preserve">Logistics: In the strategies area, advanced advances offer exceptional perceivability and control. IoT-empowered GPS inspirations give constant data on the area and state of merchandise during travel </w:t>
      </w:r>
      <w:r>
        <w:rPr>
          <w:rFonts w:asciiTheme="majorBidi" w:hAnsiTheme="majorBidi" w:cstheme="majorBidi"/>
          <w:sz w:val="24"/>
          <w:szCs w:val="24"/>
          <w:shd w:val="clear" w:color="auto" w:fill="FFFFFF"/>
        </w:rPr>
        <w:t>(Christopher &amp; Towill, 2001, p.1)</w:t>
      </w:r>
      <w:r>
        <w:rPr>
          <w:rFonts w:asciiTheme="majorBidi" w:hAnsiTheme="majorBidi" w:cstheme="majorBidi"/>
          <w:sz w:val="24"/>
          <w:szCs w:val="24"/>
        </w:rPr>
        <w:t>. This degree of straightforwardness improves navigation, permitting associations to reroute shipments because of unexpected occasions and streamlining transportation courses for productivity.</w:t>
      </w:r>
    </w:p>
    <w:p>
      <w:pPr>
        <w:pStyle w:val="16"/>
        <w:numPr>
          <w:ilvl w:val="0"/>
          <w:numId w:val="2"/>
        </w:numPr>
        <w:spacing w:line="360" w:lineRule="auto"/>
        <w:rPr>
          <w:rFonts w:asciiTheme="majorBidi" w:hAnsiTheme="majorBidi" w:cstheme="majorBidi"/>
          <w:sz w:val="24"/>
          <w:szCs w:val="24"/>
        </w:rPr>
      </w:pPr>
      <w:r>
        <w:rPr>
          <w:rFonts w:asciiTheme="majorBidi" w:hAnsiTheme="majorBidi" w:cstheme="majorBidi"/>
          <w:sz w:val="24"/>
          <w:szCs w:val="24"/>
        </w:rPr>
        <w:t>Distribution: Computerized change straightforwardly affects dissemination channels, smoothing out the progression of products from the assembling office to end purchasers. Web-based business stages influence information examination to customize the client experience and upgrade stock levels for on-request satisfaction (</w:t>
      </w:r>
      <w:r>
        <w:rPr>
          <w:rFonts w:asciiTheme="majorBidi" w:hAnsiTheme="majorBidi" w:cstheme="majorBidi"/>
          <w:sz w:val="24"/>
          <w:szCs w:val="24"/>
          <w:shd w:val="clear" w:color="auto" w:fill="FFFFFF"/>
        </w:rPr>
        <w:t>Mangan &amp; Lalwani,2016, p.35)</w:t>
      </w:r>
      <w:r>
        <w:rPr>
          <w:rFonts w:asciiTheme="majorBidi" w:hAnsiTheme="majorBidi" w:cstheme="majorBidi"/>
          <w:sz w:val="24"/>
          <w:szCs w:val="24"/>
        </w:rPr>
        <w:t>. This results in quicker and more solid conveyance, meeting the advancing assumptions for present-day shoppers.</w:t>
      </w:r>
    </w:p>
    <w:p>
      <w:pPr>
        <w:pStyle w:val="3"/>
        <w:spacing w:line="360" w:lineRule="auto"/>
        <w:rPr>
          <w:rFonts w:asciiTheme="majorBidi" w:hAnsiTheme="majorBidi"/>
          <w:color w:val="auto"/>
          <w:sz w:val="24"/>
          <w:szCs w:val="24"/>
        </w:rPr>
      </w:pPr>
      <w:bookmarkStart w:id="10" w:name="_Toc154674073"/>
      <w:r>
        <w:rPr>
          <w:rFonts w:asciiTheme="majorBidi" w:hAnsiTheme="majorBidi"/>
          <w:color w:val="auto"/>
          <w:sz w:val="24"/>
          <w:szCs w:val="24"/>
        </w:rPr>
        <w:t>Identifying Opportunities</w:t>
      </w:r>
      <w:bookmarkEnd w:id="10"/>
    </w:p>
    <w:p>
      <w:pPr>
        <w:spacing w:line="360" w:lineRule="auto"/>
        <w:rPr>
          <w:rFonts w:asciiTheme="majorBidi" w:hAnsiTheme="majorBidi" w:cstheme="majorBidi"/>
          <w:sz w:val="24"/>
          <w:szCs w:val="24"/>
        </w:rPr>
      </w:pPr>
      <w:r>
        <w:rPr>
          <w:rFonts w:asciiTheme="majorBidi" w:hAnsiTheme="majorBidi" w:cstheme="majorBidi"/>
          <w:sz w:val="24"/>
          <w:szCs w:val="24"/>
        </w:rPr>
        <w:t>The joining of computerized innovations into global supply chain management opens up a crowd of chances for associations. One critical open door lies in information-driven navigation. The overflow of information produced at each phase of the inventory network permits associations to acquire noteworthy experiences, enhance cycles, and settle on informed critical decisions (</w:t>
      </w:r>
      <w:r>
        <w:rPr>
          <w:rFonts w:asciiTheme="majorBidi" w:hAnsiTheme="majorBidi" w:cstheme="majorBidi"/>
          <w:sz w:val="24"/>
          <w:szCs w:val="24"/>
          <w:shd w:val="clear" w:color="auto" w:fill="FFFFFF"/>
        </w:rPr>
        <w:t>World Economic Forum, 2018)</w:t>
      </w:r>
      <w:r>
        <w:rPr>
          <w:rFonts w:asciiTheme="majorBidi" w:hAnsiTheme="majorBidi" w:cstheme="majorBidi"/>
          <w:sz w:val="24"/>
          <w:szCs w:val="24"/>
        </w:rPr>
        <w:t xml:space="preserve">. This information-driven approach generally improves productivity and responsiveness. Besides, digital transformation empowers the making of coordinated and rigid stockpile chains. By utilizing advancements like simulated intelligence and IoT, associations can rapidly adjust to changes sought after and disturbances in supply and explore unpredictable economic situations. Businesses are better positioned to take advantage of emerging market trends thanks to this adaptability, in addition to guaranteeing business continuity </w:t>
      </w:r>
      <w:r>
        <w:rPr>
          <w:rFonts w:asciiTheme="majorBidi" w:hAnsiTheme="majorBidi" w:cstheme="majorBidi"/>
          <w:sz w:val="24"/>
          <w:szCs w:val="24"/>
          <w:shd w:val="clear" w:color="auto" w:fill="FFFFFF"/>
        </w:rPr>
        <w:t>(Ning &amp; Yao, 2023, p.3)</w:t>
      </w:r>
      <w:r>
        <w:rPr>
          <w:rFonts w:asciiTheme="majorBidi" w:hAnsiTheme="majorBidi" w:cstheme="majorBidi"/>
          <w:sz w:val="24"/>
          <w:szCs w:val="24"/>
        </w:rPr>
        <w:t>.</w:t>
      </w:r>
    </w:p>
    <w:p>
      <w:pPr>
        <w:pStyle w:val="3"/>
        <w:spacing w:line="360" w:lineRule="auto"/>
        <w:rPr>
          <w:rFonts w:asciiTheme="majorBidi" w:hAnsiTheme="majorBidi"/>
          <w:color w:val="auto"/>
          <w:sz w:val="24"/>
          <w:szCs w:val="24"/>
        </w:rPr>
      </w:pPr>
      <w:bookmarkStart w:id="11" w:name="_Toc154674074"/>
      <w:r>
        <w:rPr>
          <w:rFonts w:asciiTheme="majorBidi" w:hAnsiTheme="majorBidi"/>
          <w:color w:val="auto"/>
          <w:sz w:val="24"/>
          <w:szCs w:val="24"/>
        </w:rPr>
        <w:t>Assessment of Challenges and Risks</w:t>
      </w:r>
      <w:bookmarkEnd w:id="11"/>
    </w:p>
    <w:p>
      <w:pPr>
        <w:spacing w:line="360" w:lineRule="auto"/>
        <w:rPr>
          <w:rFonts w:asciiTheme="majorBidi" w:hAnsiTheme="majorBidi" w:cstheme="majorBidi"/>
          <w:sz w:val="24"/>
          <w:szCs w:val="24"/>
        </w:rPr>
      </w:pPr>
      <w:r>
        <w:rPr>
          <w:rFonts w:asciiTheme="majorBidi" w:hAnsiTheme="majorBidi" w:cstheme="majorBidi"/>
          <w:sz w:val="24"/>
          <w:szCs w:val="24"/>
        </w:rPr>
        <w:t>While there are numerous advantages to digital transformation, there are also risks and difficulties. The requirement for significant upfront investments in talent development and technology infrastructure is one major obstacle. The integration process can be complicated and time-consuming, and organizations may resist change (World Economic Forum, 2018). Online protection risks represent another considerable test. Cyberthreats become more prevalent in supply chains as their interconnectedness grows. The potential for information breaks, protected innovation robbery, and disturbance of basic frameworks raises worries about the security of advanced production network biological systems (Ivanov, 2020, p.13). Furthermore, the high-speed development of computerized advances might bring about an abilities hovel, where workers might battle to stay up with the fast changes in innovation. This requires progressing preparation and advancement drives to guarantee that the labour force is prepared to outfit the maximum capacity of computerized instruments (World Economic Forum, 2018).</w:t>
      </w:r>
    </w:p>
    <w:p>
      <w:pPr>
        <w:spacing w:line="360" w:lineRule="auto"/>
        <w:rPr>
          <w:rFonts w:asciiTheme="majorBidi" w:hAnsiTheme="majorBidi" w:cstheme="majorBidi"/>
          <w:sz w:val="24"/>
          <w:szCs w:val="24"/>
        </w:rPr>
      </w:pPr>
      <w:r>
        <w:rPr>
          <w:rFonts w:asciiTheme="majorBidi" w:hAnsiTheme="majorBidi" w:cstheme="majorBidi"/>
          <w:sz w:val="24"/>
          <w:szCs w:val="24"/>
        </w:rPr>
        <w:t>The effect of digital transformation in supply chain management is significant, offering potential open doors for improved productivity, versatility, and information-driven navigation. To fully reap the benefits of digital technologies, businesses, on the other hand, must overcome obstacles like upfront costs for investments, cybersecurity risks, and the requirement for ongoing skill development.</w:t>
      </w:r>
    </w:p>
    <w:p>
      <w:pPr>
        <w:pStyle w:val="3"/>
        <w:spacing w:line="360" w:lineRule="auto"/>
        <w:rPr>
          <w:rFonts w:asciiTheme="majorBidi" w:hAnsiTheme="majorBidi"/>
          <w:color w:val="auto"/>
          <w:sz w:val="24"/>
          <w:szCs w:val="24"/>
        </w:rPr>
      </w:pPr>
      <w:bookmarkStart w:id="12" w:name="_Toc154674075"/>
      <w:r>
        <w:rPr>
          <w:rFonts w:asciiTheme="majorBidi" w:hAnsiTheme="majorBidi"/>
          <w:color w:val="auto"/>
          <w:sz w:val="24"/>
          <w:szCs w:val="24"/>
        </w:rPr>
        <w:t>Linking Business Strategies and Theories to Real-Life Application</w:t>
      </w:r>
      <w:bookmarkEnd w:id="12"/>
    </w:p>
    <w:p>
      <w:pPr>
        <w:spacing w:line="360" w:lineRule="auto"/>
        <w:rPr>
          <w:rFonts w:asciiTheme="majorBidi" w:hAnsiTheme="majorBidi" w:cstheme="majorBidi"/>
          <w:sz w:val="24"/>
          <w:szCs w:val="24"/>
        </w:rPr>
      </w:pPr>
      <w:r>
        <w:rPr>
          <w:rFonts w:asciiTheme="majorBidi" w:hAnsiTheme="majorBidi" w:cstheme="majorBidi"/>
          <w:sz w:val="24"/>
          <w:szCs w:val="24"/>
        </w:rPr>
        <w:t>The mix of theoretical systems into genuine applications is fundamental for organizations, meaning to flourish in the advanced period of supply chain management. This section offers suggestions for businesses based on the theoretical insights gleaned from the research and the practical implications of those insights.</w:t>
      </w:r>
    </w:p>
    <w:p>
      <w:pPr>
        <w:pStyle w:val="4"/>
        <w:spacing w:line="360" w:lineRule="auto"/>
        <w:rPr>
          <w:rFonts w:asciiTheme="majorBidi" w:hAnsiTheme="majorBidi"/>
          <w:color w:val="auto"/>
        </w:rPr>
      </w:pPr>
      <w:bookmarkStart w:id="13" w:name="_Toc154674076"/>
      <w:r>
        <w:rPr>
          <w:rFonts w:asciiTheme="majorBidi" w:hAnsiTheme="majorBidi"/>
          <w:color w:val="auto"/>
        </w:rPr>
        <w:t>Theoretical Structures</w:t>
      </w:r>
      <w:bookmarkEnd w:id="13"/>
    </w:p>
    <w:p>
      <w:pPr>
        <w:spacing w:line="360" w:lineRule="auto"/>
        <w:rPr>
          <w:rFonts w:asciiTheme="majorBidi" w:hAnsiTheme="majorBidi" w:cstheme="majorBidi"/>
          <w:sz w:val="24"/>
          <w:szCs w:val="24"/>
        </w:rPr>
      </w:pPr>
      <w:r>
        <w:rPr>
          <w:rFonts w:asciiTheme="majorBidi" w:hAnsiTheme="majorBidi" w:cstheme="majorBidi"/>
          <w:sz w:val="24"/>
          <w:szCs w:val="24"/>
        </w:rPr>
        <w:t>Theoretical structures, like those accentuating quickness, strength, and information-driven direction, structure the reason for understanding the extraordinary capability of advanced advancements in supply chain management (Christopher and Towill, 2001, p.2). These structures guide organizations in exploring the intricacies of worldwide stockpile chains and tackling the advantages of advanced change.</w:t>
      </w:r>
    </w:p>
    <w:p>
      <w:pPr>
        <w:pStyle w:val="4"/>
        <w:spacing w:line="360" w:lineRule="auto"/>
        <w:rPr>
          <w:rFonts w:asciiTheme="majorBidi" w:hAnsiTheme="majorBidi"/>
          <w:color w:val="auto"/>
        </w:rPr>
      </w:pPr>
      <w:bookmarkStart w:id="14" w:name="_Toc154674077"/>
      <w:r>
        <w:rPr>
          <w:rFonts w:asciiTheme="majorBidi" w:hAnsiTheme="majorBidi"/>
          <w:color w:val="auto"/>
        </w:rPr>
        <w:t>Useful Recommendations</w:t>
      </w:r>
      <w:bookmarkEnd w:id="14"/>
    </w:p>
    <w:p>
      <w:pPr>
        <w:spacing w:line="360" w:lineRule="auto"/>
        <w:rPr>
          <w:rFonts w:asciiTheme="majorBidi" w:hAnsiTheme="majorBidi" w:cstheme="majorBidi"/>
          <w:sz w:val="24"/>
          <w:szCs w:val="24"/>
        </w:rPr>
      </w:pPr>
    </w:p>
    <w:p>
      <w:pPr>
        <w:pStyle w:val="16"/>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Investing in Technology Infrastructure: The discoveries highlight the significance of putting resources into innovation frameworks, including IoT gadgets, computer-based intelligence calculations, and blockchain stages (Wang et al., 2016, p.98). Organizations ought to decisively assign assets to take on and incorporate these advances into their production network activities, cultivating expanded perceivability, productivity, and responsiveness.</w:t>
      </w:r>
    </w:p>
    <w:p>
      <w:pPr>
        <w:pStyle w:val="16"/>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Encouraging a Culture of Development: Digital transformation is more than just a change in technology; it requires a social change inside associations. World Economic Forum (2018) recommends that businesses cultivate a culture of innovation that fosters adaptability and continuous learning. This includes making investments in training programs for employees to fill the skills gap and ensure that the workforce is equipped to make effective use of digital tools.</w:t>
      </w:r>
    </w:p>
    <w:p>
      <w:pPr>
        <w:pStyle w:val="16"/>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Accepting Demand-Driven Approaches: The examination features the shift towards request-driven supply chains (</w:t>
      </w:r>
      <w:r>
        <w:rPr>
          <w:rFonts w:asciiTheme="majorBidi" w:hAnsiTheme="majorBidi" w:cstheme="majorBidi"/>
          <w:sz w:val="24"/>
          <w:szCs w:val="24"/>
          <w:shd w:val="clear" w:color="auto" w:fill="FFFFFF"/>
        </w:rPr>
        <w:t>Mangan &amp; Lalwani,2016, p.35)</w:t>
      </w:r>
      <w:r>
        <w:rPr>
          <w:rFonts w:asciiTheme="majorBidi" w:hAnsiTheme="majorBidi" w:cstheme="majorBidi"/>
          <w:sz w:val="24"/>
          <w:szCs w:val="24"/>
        </w:rPr>
        <w:t>.  Organizations ought to reconsider their procedures to adjust creation and conveyance to genuine client interest. This necessitates utilizing AI-based demand forecasting technologies to ensure that inventory levels are optimized to meet changing market requirements.</w:t>
      </w:r>
    </w:p>
    <w:p>
      <w:pPr>
        <w:pStyle w:val="16"/>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Upgrading Online Protection Measures: As the mix of advanced innovations opens supply chains to online protection gambles, organizations should focus on hearty network safety measures. Secure communication channels, encryption protocols, and routine audits to identify and reduce potential vulnerabilities are all part of this (Ivanov, 2020, p.13).</w:t>
      </w:r>
    </w:p>
    <w:p>
      <w:pPr>
        <w:pStyle w:val="4"/>
        <w:spacing w:line="360" w:lineRule="auto"/>
        <w:rPr>
          <w:rFonts w:asciiTheme="majorBidi" w:hAnsiTheme="majorBidi"/>
          <w:color w:val="auto"/>
        </w:rPr>
      </w:pPr>
      <w:bookmarkStart w:id="15" w:name="_Toc154674078"/>
      <w:r>
        <w:rPr>
          <w:rFonts w:asciiTheme="majorBidi" w:hAnsiTheme="majorBidi"/>
          <w:color w:val="auto"/>
        </w:rPr>
        <w:t>Suggestions for Organizations</w:t>
      </w:r>
      <w:bookmarkEnd w:id="15"/>
    </w:p>
    <w:p>
      <w:pPr>
        <w:spacing w:line="360" w:lineRule="auto"/>
        <w:rPr>
          <w:rFonts w:asciiTheme="majorBidi" w:hAnsiTheme="majorBidi" w:cstheme="majorBidi"/>
          <w:sz w:val="24"/>
          <w:szCs w:val="24"/>
        </w:rPr>
      </w:pPr>
    </w:p>
    <w:p>
      <w:pPr>
        <w:pStyle w:val="16"/>
        <w:numPr>
          <w:ilvl w:val="0"/>
          <w:numId w:val="4"/>
        </w:numPr>
        <w:spacing w:line="360" w:lineRule="auto"/>
        <w:rPr>
          <w:rFonts w:asciiTheme="majorBidi" w:hAnsiTheme="majorBidi" w:cstheme="majorBidi"/>
          <w:sz w:val="24"/>
          <w:szCs w:val="24"/>
        </w:rPr>
      </w:pPr>
      <w:r>
        <w:rPr>
          <w:rFonts w:asciiTheme="majorBidi" w:hAnsiTheme="majorBidi" w:cstheme="majorBidi"/>
          <w:sz w:val="24"/>
          <w:szCs w:val="24"/>
        </w:rPr>
        <w:t>Foster a Computerized Change Guide: Organizations ought to make a thorough computerized change guide that lines up with their general business procedure. This guide should frame explicit objectives, courses of events, and achievements for the incorporation of advanced innovations throughout the production network.</w:t>
      </w:r>
    </w:p>
    <w:p>
      <w:pPr>
        <w:pStyle w:val="16"/>
        <w:numPr>
          <w:ilvl w:val="0"/>
          <w:numId w:val="4"/>
        </w:numPr>
        <w:spacing w:line="360" w:lineRule="auto"/>
        <w:rPr>
          <w:rFonts w:asciiTheme="majorBidi" w:hAnsiTheme="majorBidi" w:cstheme="majorBidi"/>
          <w:sz w:val="24"/>
          <w:szCs w:val="24"/>
        </w:rPr>
      </w:pPr>
      <w:r>
        <w:rPr>
          <w:rFonts w:asciiTheme="majorBidi" w:hAnsiTheme="majorBidi" w:cstheme="majorBidi"/>
          <w:sz w:val="24"/>
          <w:szCs w:val="24"/>
        </w:rPr>
        <w:t>Collaborate with Industry Partners: Collaboration with partners in the industry is essential due to the interconnected nature of global supply chains. Organizations ought to investigate cooperative drives, for example, blockchain-based consortia, to improve straightforwardness and detectability across the stock organization.</w:t>
      </w:r>
    </w:p>
    <w:p>
      <w:pPr>
        <w:pStyle w:val="16"/>
        <w:numPr>
          <w:ilvl w:val="0"/>
          <w:numId w:val="4"/>
        </w:numPr>
        <w:spacing w:line="360" w:lineRule="auto"/>
        <w:rPr>
          <w:rFonts w:asciiTheme="majorBidi" w:hAnsiTheme="majorBidi" w:cstheme="majorBidi"/>
          <w:sz w:val="24"/>
          <w:szCs w:val="24"/>
        </w:rPr>
      </w:pPr>
      <w:r>
        <w:rPr>
          <w:rFonts w:asciiTheme="majorBidi" w:hAnsiTheme="majorBidi" w:cstheme="majorBidi"/>
          <w:sz w:val="24"/>
          <w:szCs w:val="24"/>
        </w:rPr>
        <w:t>Monitor Emerging Technologies: The advanced scene is constantly developing. Businesses should closely monitor emerging technologies, and their applicability to supply chain operations should be evaluated. Early reception of creative arrangements can give an upper hand.</w:t>
      </w:r>
    </w:p>
    <w:p>
      <w:pPr>
        <w:pStyle w:val="16"/>
        <w:numPr>
          <w:ilvl w:val="0"/>
          <w:numId w:val="4"/>
        </w:numPr>
        <w:spacing w:line="360" w:lineRule="auto"/>
        <w:rPr>
          <w:rFonts w:asciiTheme="majorBidi" w:hAnsiTheme="majorBidi" w:cstheme="majorBidi"/>
          <w:sz w:val="24"/>
          <w:szCs w:val="24"/>
        </w:rPr>
      </w:pPr>
      <w:r>
        <w:rPr>
          <w:rFonts w:asciiTheme="majorBidi" w:hAnsiTheme="majorBidi" w:cstheme="majorBidi"/>
          <w:sz w:val="24"/>
          <w:szCs w:val="24"/>
        </w:rPr>
        <w:t>Focus on Manageability and Moral Obtaining: Integrating blockchain innovation for discernibility empowers organizations to impart their obligation to maintainability and moral obtaining. This meets purchaser assumptions as well as mitigates chances related to rebelliousness and deceptive practices.</w:t>
      </w:r>
    </w:p>
    <w:p>
      <w:pPr>
        <w:spacing w:line="360" w:lineRule="auto"/>
        <w:rPr>
          <w:rFonts w:asciiTheme="majorBidi" w:hAnsiTheme="majorBidi" w:cstheme="majorBidi"/>
          <w:sz w:val="24"/>
          <w:szCs w:val="24"/>
        </w:rPr>
      </w:pPr>
    </w:p>
    <w:p>
      <w:pPr>
        <w:spacing w:line="360" w:lineRule="auto"/>
        <w:rPr>
          <w:rFonts w:asciiTheme="majorBidi" w:hAnsiTheme="majorBidi" w:cstheme="majorBidi"/>
          <w:sz w:val="24"/>
          <w:szCs w:val="24"/>
        </w:rPr>
      </w:pPr>
      <w:r>
        <w:rPr>
          <w:rFonts w:asciiTheme="majorBidi" w:hAnsiTheme="majorBidi" w:cstheme="majorBidi"/>
          <w:sz w:val="24"/>
          <w:szCs w:val="24"/>
        </w:rPr>
        <w:t>In connecting theoretical systems to practical applications includes an essential arrangement of business procedures with the extraordinary capability of computerized advancements. By putting resources into innovation, cultivating development, and embracing request-driven approaches, organizations can explore the difficulties and gain from the amazing open doors introduced by advanced change in global supply chain management.</w:t>
      </w:r>
    </w:p>
    <w:p>
      <w:pPr>
        <w:pStyle w:val="2"/>
        <w:spacing w:line="360" w:lineRule="auto"/>
        <w:jc w:val="center"/>
        <w:rPr>
          <w:rFonts w:asciiTheme="majorBidi" w:hAnsiTheme="majorBidi"/>
          <w:color w:val="auto"/>
          <w:sz w:val="24"/>
          <w:szCs w:val="24"/>
        </w:rPr>
      </w:pPr>
      <w:bookmarkStart w:id="16" w:name="_Toc154674079"/>
      <w:r>
        <w:rPr>
          <w:rFonts w:asciiTheme="majorBidi" w:hAnsiTheme="majorBidi"/>
          <w:color w:val="auto"/>
          <w:sz w:val="24"/>
          <w:szCs w:val="24"/>
        </w:rPr>
        <w:t>Methodology</w:t>
      </w:r>
      <w:bookmarkEnd w:id="16"/>
    </w:p>
    <w:p>
      <w:pPr>
        <w:spacing w:line="360" w:lineRule="auto"/>
        <w:rPr>
          <w:rFonts w:hint="default" w:ascii="Times New Roman" w:hAnsi="Times New Roman" w:cs="Times New Roman"/>
          <w:sz w:val="24"/>
          <w:szCs w:val="24"/>
        </w:rPr>
      </w:pPr>
      <w:r>
        <w:rPr>
          <w:rFonts w:asciiTheme="majorBidi" w:hAnsiTheme="majorBidi" w:cstheme="majorBidi"/>
          <w:sz w:val="24"/>
          <w:szCs w:val="24"/>
        </w:rPr>
        <w:t xml:space="preserve">A complete examination philosophy has been formulated to evaluate the impact of digital </w:t>
      </w:r>
      <w:r>
        <w:rPr>
          <w:rFonts w:hint="default" w:ascii="Times New Roman" w:hAnsi="Times New Roman" w:cs="Times New Roman"/>
          <w:sz w:val="24"/>
          <w:szCs w:val="24"/>
        </w:rPr>
        <w:t xml:space="preserve">transformation in supply chain management. </w:t>
      </w:r>
    </w:p>
    <w:p>
      <w:pPr>
        <w:pStyle w:val="3"/>
        <w:spacing w:line="360" w:lineRule="auto"/>
        <w:rPr>
          <w:rFonts w:hint="default" w:ascii="Times New Roman" w:hAnsi="Times New Roman" w:cs="Times New Roman"/>
          <w:color w:val="auto"/>
          <w:sz w:val="24"/>
          <w:szCs w:val="24"/>
        </w:rPr>
      </w:pPr>
      <w:bookmarkStart w:id="17" w:name="_Toc154674080"/>
      <w:r>
        <w:rPr>
          <w:rFonts w:hint="default" w:ascii="Times New Roman" w:hAnsi="Times New Roman" w:cs="Times New Roman"/>
          <w:color w:val="auto"/>
          <w:sz w:val="24"/>
          <w:szCs w:val="24"/>
        </w:rPr>
        <w:t>Research Approach</w:t>
      </w:r>
      <w:bookmarkEnd w:id="17"/>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This study employs a qualitative method that conducts a comprehensive review and synthesis of the relevant body of literature. The subjective exploration approach is considered reasonable for examining many-sided subtleties, relevant comprehension, and getting inside and out experiences into the topic (Huyler and McGill, 2019, p.76). This approach makes it easier to gain a more nuanced understanding of the intricate implications of digital transformation for global supply chain management by delving into scholarly articles, reports, and case studies.</w:t>
      </w:r>
    </w:p>
    <w:p>
      <w:pPr>
        <w:pStyle w:val="3"/>
        <w:spacing w:line="360" w:lineRule="auto"/>
        <w:rPr>
          <w:rFonts w:asciiTheme="majorBidi" w:hAnsiTheme="majorBidi"/>
          <w:color w:val="auto"/>
          <w:sz w:val="24"/>
          <w:szCs w:val="24"/>
        </w:rPr>
      </w:pPr>
      <w:bookmarkStart w:id="18" w:name="_Toc154674081"/>
      <w:r>
        <w:rPr>
          <w:rFonts w:asciiTheme="majorBidi" w:hAnsiTheme="majorBidi"/>
          <w:color w:val="auto"/>
          <w:sz w:val="24"/>
          <w:szCs w:val="24"/>
        </w:rPr>
        <w:t>Data Collection Methods</w:t>
      </w:r>
      <w:bookmarkEnd w:id="18"/>
    </w:p>
    <w:p>
      <w:pPr>
        <w:spacing w:line="360" w:lineRule="auto"/>
        <w:rPr>
          <w:rFonts w:hint="default" w:asciiTheme="majorBidi" w:hAnsiTheme="majorBidi"/>
          <w:sz w:val="24"/>
          <w:szCs w:val="24"/>
        </w:rPr>
      </w:pPr>
      <w:r>
        <w:rPr>
          <w:rFonts w:hint="default" w:asciiTheme="majorBidi" w:hAnsiTheme="majorBidi"/>
          <w:sz w:val="24"/>
          <w:szCs w:val="24"/>
        </w:rPr>
        <w:t xml:space="preserve">The information assortment strategy utilized in this exploration involves recovering and examining data from trustworthy academic data sets. The survey depends on </w:t>
      </w:r>
      <w:r>
        <w:rPr>
          <w:rFonts w:hint="default" w:asciiTheme="majorBidi" w:hAnsiTheme="majorBidi"/>
          <w:sz w:val="24"/>
          <w:szCs w:val="24"/>
          <w:lang w:val="en-US"/>
        </w:rPr>
        <w:t xml:space="preserve">secondary </w:t>
      </w:r>
      <w:r>
        <w:rPr>
          <w:rFonts w:hint="default" w:asciiTheme="majorBidi" w:hAnsiTheme="majorBidi"/>
          <w:sz w:val="24"/>
          <w:szCs w:val="24"/>
        </w:rPr>
        <w:t>examination, separating experiences from insightful articles accessible on stages like Google Researcher, JSTOR, and ResearchGate. These data sets offer admittance to an extensive cluster of friend surveyed writing, guaranteeing the strong quality and validity of the assembled information.</w:t>
      </w:r>
    </w:p>
    <w:p>
      <w:pPr>
        <w:spacing w:line="360" w:lineRule="auto"/>
        <w:rPr>
          <w:rFonts w:asciiTheme="majorBidi" w:hAnsiTheme="majorBidi" w:cstheme="majorBidi"/>
          <w:sz w:val="24"/>
          <w:szCs w:val="24"/>
        </w:rPr>
      </w:pPr>
      <w:r>
        <w:rPr>
          <w:rFonts w:asciiTheme="majorBidi" w:hAnsiTheme="majorBidi" w:cstheme="majorBidi"/>
          <w:sz w:val="24"/>
          <w:szCs w:val="24"/>
        </w:rPr>
        <w:t>The systematic review of literature will be conducted using the Preferred Reporting Items for Systematic Reviews and Meta-Analyses (PRISMA) rules. PRISMA guarantees a straightforward and organized way to deal with exploring literature, upgrading the thoroughness of the research interaction (Moher et al., 2009, p.123). By observing the PRISMA rules, the review plans to limit predisposition, upgrade replicability, and give a reasonable and far-reaching union of existing information.</w:t>
      </w:r>
    </w:p>
    <w:p>
      <w:pPr>
        <w:pStyle w:val="3"/>
        <w:spacing w:line="360" w:lineRule="auto"/>
        <w:rPr>
          <w:rFonts w:asciiTheme="majorBidi" w:hAnsiTheme="majorBidi"/>
          <w:color w:val="auto"/>
          <w:sz w:val="24"/>
          <w:szCs w:val="24"/>
        </w:rPr>
      </w:pPr>
      <w:bookmarkStart w:id="19" w:name="_Toc154674082"/>
      <w:r>
        <w:rPr>
          <w:rFonts w:asciiTheme="majorBidi" w:hAnsiTheme="majorBidi"/>
          <w:color w:val="auto"/>
          <w:sz w:val="24"/>
          <w:szCs w:val="24"/>
        </w:rPr>
        <w:t>Sampling Techniques and Rationale</w:t>
      </w:r>
      <w:bookmarkEnd w:id="19"/>
    </w:p>
    <w:p>
      <w:pPr>
        <w:spacing w:line="360" w:lineRule="auto"/>
        <w:rPr>
          <w:rFonts w:asciiTheme="majorBidi" w:hAnsiTheme="majorBidi" w:cstheme="majorBidi"/>
          <w:sz w:val="24"/>
          <w:szCs w:val="24"/>
        </w:rPr>
      </w:pPr>
      <w:r>
        <w:rPr>
          <w:rFonts w:asciiTheme="majorBidi" w:hAnsiTheme="majorBidi" w:cstheme="majorBidi"/>
          <w:sz w:val="24"/>
          <w:szCs w:val="24"/>
        </w:rPr>
        <w:t xml:space="preserve">Given the subjective idea of the review and the emphasis on </w:t>
      </w:r>
      <w:r>
        <w:rPr>
          <w:rFonts w:hint="default" w:asciiTheme="majorBidi" w:hAnsiTheme="majorBidi" w:cstheme="majorBidi"/>
          <w:sz w:val="24"/>
          <w:szCs w:val="24"/>
          <w:lang w:val="en-US"/>
        </w:rPr>
        <w:t xml:space="preserve">secondary </w:t>
      </w:r>
      <w:r>
        <w:rPr>
          <w:rFonts w:asciiTheme="majorBidi" w:hAnsiTheme="majorBidi" w:cstheme="majorBidi"/>
          <w:sz w:val="24"/>
          <w:szCs w:val="24"/>
        </w:rPr>
        <w:t>examination, the testing procedure includes a purposive determination of pertinent, insightful articles, reports, and contextual investigations. The incorporation rules will be characterized in light of the importance of the material to the point, the distribution date, and the validity of the source. A focused and meaningful analysis of digital transformation in global supply chain management is provided by this targeted approach, which ensures that the selected literature closely matches the research objectives.</w:t>
      </w:r>
    </w:p>
    <w:p>
      <w:pPr>
        <w:pStyle w:val="3"/>
        <w:spacing w:line="360" w:lineRule="auto"/>
        <w:rPr>
          <w:rFonts w:asciiTheme="majorBidi" w:hAnsiTheme="majorBidi"/>
          <w:color w:val="auto"/>
          <w:sz w:val="24"/>
          <w:szCs w:val="24"/>
        </w:rPr>
      </w:pPr>
      <w:bookmarkStart w:id="20" w:name="_Toc154674083"/>
      <w:r>
        <w:rPr>
          <w:rFonts w:asciiTheme="majorBidi" w:hAnsiTheme="majorBidi"/>
          <w:color w:val="auto"/>
          <w:sz w:val="24"/>
          <w:szCs w:val="24"/>
        </w:rPr>
        <w:t>Ethical Considerations</w:t>
      </w:r>
      <w:bookmarkEnd w:id="20"/>
    </w:p>
    <w:p>
      <w:pPr>
        <w:spacing w:line="360" w:lineRule="auto"/>
        <w:rPr>
          <w:rFonts w:hint="default" w:asciiTheme="majorBidi" w:hAnsiTheme="majorBidi"/>
          <w:sz w:val="24"/>
          <w:szCs w:val="24"/>
          <w:lang w:val="en-US"/>
        </w:rPr>
      </w:pPr>
      <w:r>
        <w:rPr>
          <w:rFonts w:hint="default" w:asciiTheme="majorBidi" w:hAnsiTheme="majorBidi"/>
          <w:sz w:val="24"/>
          <w:szCs w:val="24"/>
          <w:lang w:val="en-US"/>
        </w:rPr>
        <w:t>In directing secondary examination, ethical contemplations stay central. To accomplish research goals like accuracy, truth, and information upgrade, ethical contemplation are essential for maintaining the venture's uprightness. They act as a defend against mistakes, duplicity, and misinterpretations that could think twice about legitimacy of ends got from any examination try. Besides, ethical considerations are basic in cultivating a climate of trust, joint effort, and common regard, particularly in research coordinated efforts including people with assorted foundations. This moral establishment guarantees open correspondence and the trading of thoughts among all gatherings engaged with the examination cycle. Defending the privileges of members is recognized as a basic part of moral contemplations (Ayenew, 2023).</w:t>
      </w:r>
    </w:p>
    <w:p>
      <w:pPr>
        <w:spacing w:line="360" w:lineRule="auto"/>
        <w:rPr>
          <w:rFonts w:asciiTheme="majorBidi" w:hAnsiTheme="majorBidi" w:cstheme="majorBidi"/>
          <w:sz w:val="24"/>
          <w:szCs w:val="24"/>
        </w:rPr>
      </w:pPr>
      <w:r>
        <w:rPr>
          <w:rFonts w:hint="default" w:asciiTheme="majorBidi" w:hAnsiTheme="majorBidi"/>
          <w:sz w:val="24"/>
          <w:szCs w:val="24"/>
          <w:lang w:val="en-US"/>
        </w:rPr>
        <w:t>By</w:t>
      </w:r>
      <w:r>
        <w:rPr>
          <w:rFonts w:hint="default" w:asciiTheme="majorBidi" w:hAnsiTheme="majorBidi"/>
          <w:sz w:val="24"/>
          <w:szCs w:val="24"/>
        </w:rPr>
        <w:t xml:space="preserve"> </w:t>
      </w:r>
      <w:r>
        <w:rPr>
          <w:rFonts w:hint="default" w:asciiTheme="majorBidi" w:hAnsiTheme="majorBidi"/>
          <w:sz w:val="24"/>
          <w:szCs w:val="24"/>
          <w:lang w:val="en-US"/>
        </w:rPr>
        <w:t>p</w:t>
      </w:r>
      <w:r>
        <w:rPr>
          <w:rFonts w:hint="default" w:asciiTheme="majorBidi" w:hAnsiTheme="majorBidi"/>
          <w:sz w:val="24"/>
          <w:szCs w:val="24"/>
        </w:rPr>
        <w:t xml:space="preserve">rojecting to </w:t>
      </w:r>
      <w:r>
        <w:rPr>
          <w:rFonts w:hint="default" w:asciiTheme="majorBidi" w:hAnsiTheme="majorBidi"/>
          <w:sz w:val="24"/>
          <w:szCs w:val="24"/>
          <w:lang w:val="en-US"/>
        </w:rPr>
        <w:t xml:space="preserve">ethical </w:t>
      </w:r>
      <w:r>
        <w:rPr>
          <w:rFonts w:hint="default" w:asciiTheme="majorBidi" w:hAnsiTheme="majorBidi"/>
          <w:sz w:val="24"/>
          <w:szCs w:val="24"/>
        </w:rPr>
        <w:t xml:space="preserve">standards is instrumental in keeping up with research legitimacy, as any deviation from moral standards, like pressure or deception, can sabotage the </w:t>
      </w:r>
      <w:r>
        <w:rPr>
          <w:rFonts w:hint="default" w:asciiTheme="majorBidi" w:hAnsiTheme="majorBidi"/>
          <w:sz w:val="24"/>
          <w:szCs w:val="24"/>
          <w:lang w:val="en-US"/>
        </w:rPr>
        <w:t>believably</w:t>
      </w:r>
      <w:r>
        <w:rPr>
          <w:rFonts w:hint="default" w:asciiTheme="majorBidi" w:hAnsiTheme="majorBidi"/>
          <w:sz w:val="24"/>
          <w:szCs w:val="24"/>
        </w:rPr>
        <w:t xml:space="preserve"> of exploration discoveries and may prompt punishments.</w:t>
      </w:r>
      <w:r>
        <w:rPr>
          <w:rFonts w:hint="default" w:asciiTheme="majorBidi" w:hAnsiTheme="majorBidi"/>
          <w:sz w:val="24"/>
          <w:szCs w:val="24"/>
          <w:lang w:val="en-US"/>
        </w:rPr>
        <w:t xml:space="preserve"> </w:t>
      </w:r>
      <w:r>
        <w:rPr>
          <w:rFonts w:hint="default" w:asciiTheme="majorBidi" w:hAnsiTheme="majorBidi"/>
          <w:sz w:val="24"/>
          <w:szCs w:val="24"/>
        </w:rPr>
        <w:t xml:space="preserve">Logical trustworthiness, a foundation of moral exploration rehearses, is critical in tending to complex cultural difficulties. Moral rules guide specialists in gathering information and proposing discoveries that contribute seriously to </w:t>
      </w:r>
      <w:r>
        <w:rPr>
          <w:rFonts w:hint="default" w:asciiTheme="majorBidi" w:hAnsiTheme="majorBidi"/>
          <w:sz w:val="24"/>
          <w:szCs w:val="24"/>
          <w:lang w:val="en-US"/>
        </w:rPr>
        <w:t>policy-making</w:t>
      </w:r>
      <w:r>
        <w:rPr>
          <w:rFonts w:hint="default" w:asciiTheme="majorBidi" w:hAnsiTheme="majorBidi"/>
          <w:sz w:val="24"/>
          <w:szCs w:val="24"/>
        </w:rPr>
        <w:t xml:space="preserve">. By sticking to moral </w:t>
      </w:r>
      <w:r>
        <w:rPr>
          <w:rFonts w:hint="default" w:asciiTheme="majorBidi" w:hAnsiTheme="majorBidi"/>
          <w:sz w:val="24"/>
          <w:szCs w:val="24"/>
          <w:lang w:val="en-US"/>
        </w:rPr>
        <w:t>contemplation</w:t>
      </w:r>
      <w:r>
        <w:rPr>
          <w:rFonts w:hint="default" w:asciiTheme="majorBidi" w:hAnsiTheme="majorBidi"/>
          <w:sz w:val="24"/>
          <w:szCs w:val="24"/>
        </w:rPr>
        <w:t>, scientists maintain the norms of science as well as guarantee the public's trust and support in the reception of approaches informed by believable examination.</w:t>
      </w:r>
    </w:p>
    <w:p>
      <w:pPr>
        <w:spacing w:line="360" w:lineRule="auto"/>
        <w:rPr>
          <w:rFonts w:asciiTheme="majorBidi" w:hAnsiTheme="majorBidi" w:cstheme="majorBidi"/>
          <w:sz w:val="24"/>
          <w:szCs w:val="24"/>
        </w:rPr>
      </w:pPr>
    </w:p>
    <w:p>
      <w:pPr>
        <w:pStyle w:val="2"/>
        <w:spacing w:line="360" w:lineRule="auto"/>
        <w:jc w:val="center"/>
        <w:rPr>
          <w:rFonts w:asciiTheme="majorBidi" w:hAnsiTheme="majorBidi"/>
          <w:color w:val="auto"/>
          <w:sz w:val="24"/>
          <w:szCs w:val="24"/>
        </w:rPr>
      </w:pPr>
      <w:bookmarkStart w:id="21" w:name="_Toc154674084"/>
      <w:r>
        <w:rPr>
          <w:rFonts w:asciiTheme="majorBidi" w:hAnsiTheme="majorBidi"/>
          <w:color w:val="auto"/>
          <w:sz w:val="24"/>
          <w:szCs w:val="24"/>
        </w:rPr>
        <w:t>Results</w:t>
      </w:r>
      <w:bookmarkEnd w:id="21"/>
    </w:p>
    <w:p>
      <w:pPr>
        <w:spacing w:line="360" w:lineRule="auto"/>
        <w:rPr>
          <w:rFonts w:hint="default" w:asciiTheme="majorBidi" w:hAnsiTheme="majorBidi"/>
          <w:sz w:val="24"/>
          <w:szCs w:val="24"/>
        </w:rPr>
      </w:pPr>
      <w:r>
        <w:rPr>
          <w:rFonts w:hint="default" w:asciiTheme="majorBidi" w:hAnsiTheme="majorBidi"/>
          <w:sz w:val="24"/>
          <w:szCs w:val="24"/>
        </w:rPr>
        <w:t xml:space="preserve">A nuanced understanding of the effects of digital transformation on the global supply chain landscape is revealed by the research findings. A thorough literature review reveals that cutting-edge technologies are redefining a variety of supply chain components, from procurement to distribution. The analysis of the data reveals that supply chain operations are increasingly becoming more responsive and efficient. Advancements, for example, IoT and man-made consciousness add to upgraded </w:t>
      </w:r>
      <w:r>
        <w:rPr>
          <w:rFonts w:hint="default" w:asciiTheme="majorBidi" w:hAnsiTheme="majorBidi"/>
          <w:sz w:val="24"/>
          <w:szCs w:val="24"/>
          <w:lang w:val="en-US"/>
        </w:rPr>
        <w:t>permeability</w:t>
      </w:r>
      <w:r>
        <w:rPr>
          <w:rFonts w:hint="default" w:asciiTheme="majorBidi" w:hAnsiTheme="majorBidi"/>
          <w:sz w:val="24"/>
          <w:szCs w:val="24"/>
        </w:rPr>
        <w:t xml:space="preserve">, enabling associations to make informed, information driven choices. The fuse of </w:t>
      </w:r>
      <w:r>
        <w:rPr>
          <w:rFonts w:hint="default" w:asciiTheme="majorBidi" w:hAnsiTheme="majorBidi"/>
          <w:sz w:val="24"/>
          <w:szCs w:val="24"/>
          <w:lang w:val="en-US"/>
        </w:rPr>
        <w:t>block chain</w:t>
      </w:r>
      <w:r>
        <w:rPr>
          <w:rFonts w:hint="default" w:asciiTheme="majorBidi" w:hAnsiTheme="majorBidi"/>
          <w:sz w:val="24"/>
          <w:szCs w:val="24"/>
        </w:rPr>
        <w:t xml:space="preserve"> innovation guarantees straightforwardness and </w:t>
      </w:r>
      <w:r>
        <w:rPr>
          <w:rFonts w:hint="default" w:asciiTheme="majorBidi" w:hAnsiTheme="majorBidi"/>
          <w:sz w:val="24"/>
          <w:szCs w:val="24"/>
          <w:lang w:val="en-US"/>
        </w:rPr>
        <w:t>discernibly</w:t>
      </w:r>
      <w:r>
        <w:rPr>
          <w:rFonts w:hint="default" w:asciiTheme="majorBidi" w:hAnsiTheme="majorBidi"/>
          <w:sz w:val="24"/>
          <w:szCs w:val="24"/>
        </w:rPr>
        <w:t>, successfully tending to difficulties related with validity and moral obtaining.</w:t>
      </w:r>
    </w:p>
    <w:p>
      <w:pPr>
        <w:spacing w:line="360" w:lineRule="auto"/>
        <w:rPr>
          <w:rFonts w:asciiTheme="majorBidi" w:hAnsiTheme="majorBidi" w:cstheme="majorBidi"/>
          <w:sz w:val="24"/>
          <w:szCs w:val="24"/>
        </w:rPr>
      </w:pPr>
      <w:r>
        <w:rPr>
          <w:rFonts w:hint="default" w:asciiTheme="majorBidi" w:hAnsiTheme="majorBidi"/>
          <w:sz w:val="24"/>
          <w:szCs w:val="24"/>
        </w:rPr>
        <w:t>Interpreting the discoveries highlights an intermingling towards an interest driven and client driven inventory network worldview. Elements embracing advanced change are more capable at meeting developing client assumptions, streamlining creation plans, and alleviating gambles related with interruptions. The review underscores the monstrous capability of embracing advanced innovations to cultivate nimble, versatile, and versatile stock chains.</w:t>
      </w:r>
      <w:r>
        <w:rPr>
          <w:rFonts w:asciiTheme="majorBidi" w:hAnsiTheme="majorBidi" w:cstheme="majorBidi"/>
          <w:sz w:val="24"/>
          <w:szCs w:val="24"/>
        </w:rPr>
        <w:t xml:space="preserve"> Recognizable proof of examples or patterns highlights the significance of a comprehensive way to deal with computerized change. Associations that decisively coordinate advancements across the whole store network are probably going to open cooperative energies and exploit arising open doors, situating themselves as industry pioneers in the time of Industry 4.0.</w:t>
      </w:r>
    </w:p>
    <w:p>
      <w:pPr>
        <w:pStyle w:val="2"/>
        <w:spacing w:line="360" w:lineRule="auto"/>
        <w:jc w:val="center"/>
        <w:rPr>
          <w:rFonts w:asciiTheme="majorBidi" w:hAnsiTheme="majorBidi"/>
          <w:color w:val="auto"/>
          <w:sz w:val="24"/>
          <w:szCs w:val="24"/>
        </w:rPr>
      </w:pPr>
      <w:bookmarkStart w:id="22" w:name="_Toc154674085"/>
      <w:r>
        <w:rPr>
          <w:rFonts w:asciiTheme="majorBidi" w:hAnsiTheme="majorBidi"/>
          <w:color w:val="auto"/>
          <w:sz w:val="24"/>
          <w:szCs w:val="24"/>
        </w:rPr>
        <w:t>Conclusion</w:t>
      </w:r>
      <w:bookmarkEnd w:id="22"/>
    </w:p>
    <w:p>
      <w:pPr>
        <w:spacing w:line="360" w:lineRule="auto"/>
        <w:rPr>
          <w:rFonts w:asciiTheme="majorBidi" w:hAnsiTheme="majorBidi" w:cstheme="majorBidi"/>
          <w:sz w:val="24"/>
          <w:szCs w:val="24"/>
        </w:rPr>
      </w:pPr>
      <w:r>
        <w:rPr>
          <w:rFonts w:asciiTheme="majorBidi" w:hAnsiTheme="majorBidi" w:cstheme="majorBidi"/>
          <w:sz w:val="24"/>
          <w:szCs w:val="24"/>
        </w:rPr>
        <w:t>In restating the review's targets, this research is meant to assess the influence of digital transformation on global supply chain management. Through an exhaustive literature survey, the review accomplished a complex comprehension of how computerized innovations are reshaping critical parts of the store network, from obtaining to conveyance. The exploration effectively featured the unique open doors introduced by computerized change, like upgraded perceivability, spryness, and client centricity. It additionally recognized the difficulties and dangers, including the requirement for significant ventures, online protection concerns, and the need for constant expertise improvement. Subsequently, this study adds to the current collection of information by giving an orchestrated and top-to-bottom investigation of the effect of computerized change on the worldwide production network of executives. Businesses and stakeholders in the industry can use the findings to help them strategically navigate the digital era's complexities.</w:t>
      </w:r>
    </w:p>
    <w:p>
      <w:pPr>
        <w:spacing w:line="360" w:lineRule="auto"/>
        <w:rPr>
          <w:rFonts w:asciiTheme="majorBidi" w:hAnsiTheme="majorBidi" w:cstheme="majorBidi"/>
          <w:sz w:val="24"/>
          <w:szCs w:val="24"/>
        </w:rPr>
      </w:pPr>
      <w:r>
        <w:rPr>
          <w:rFonts w:asciiTheme="majorBidi" w:hAnsiTheme="majorBidi" w:cstheme="majorBidi"/>
          <w:sz w:val="24"/>
          <w:szCs w:val="24"/>
        </w:rPr>
        <w:t>The dynamic nature of digital technologies suggests that ongoing research and adaptation are essential, encouraging further investigation in the field. Future examinations could dive into explicit industry applications, local varieties, or the developing job of rising advancements in-store network versatility. This continuous investigation will add to the advancing talk on computerized change and guarantee that organizations stay at the front of development in the constantly changing scene of global supply chain management.</w:t>
      </w:r>
    </w:p>
    <w:p>
      <w:pPr>
        <w:rPr>
          <w:rFonts w:asciiTheme="majorBidi" w:hAnsiTheme="majorBidi" w:cstheme="majorBidi"/>
          <w:sz w:val="24"/>
          <w:szCs w:val="24"/>
        </w:rPr>
      </w:pPr>
    </w:p>
    <w:p>
      <w:pPr>
        <w:rPr>
          <w:rFonts w:asciiTheme="majorBidi" w:hAnsiTheme="majorBidi" w:cstheme="majorBidi"/>
          <w:sz w:val="24"/>
          <w:szCs w:val="24"/>
        </w:rPr>
      </w:pPr>
    </w:p>
    <w:p>
      <w:pPr>
        <w:pStyle w:val="2"/>
        <w:spacing w:line="360" w:lineRule="auto"/>
        <w:jc w:val="center"/>
        <w:rPr>
          <w:rFonts w:asciiTheme="majorBidi" w:hAnsiTheme="majorBidi"/>
          <w:color w:val="auto"/>
          <w:sz w:val="24"/>
          <w:szCs w:val="24"/>
        </w:rPr>
      </w:pPr>
      <w:bookmarkStart w:id="23" w:name="_Toc154674086"/>
      <w:r>
        <w:rPr>
          <w:rFonts w:asciiTheme="majorBidi" w:hAnsiTheme="majorBidi"/>
          <w:color w:val="auto"/>
          <w:sz w:val="24"/>
          <w:szCs w:val="24"/>
        </w:rPr>
        <w:t>References</w:t>
      </w:r>
      <w:bookmarkEnd w:id="23"/>
    </w:p>
    <w:p>
      <w:pPr>
        <w:pStyle w:val="8"/>
        <w:keepNext w:val="0"/>
        <w:keepLines w:val="0"/>
        <w:widowControl/>
        <w:suppressLineNumbers w:val="0"/>
        <w:spacing w:before="0" w:beforeAutospacing="0" w:after="0" w:afterAutospacing="0" w:line="420" w:lineRule="atLeast"/>
        <w:ind w:left="525" w:hanging="525"/>
        <w:rPr>
          <w:rFonts w:hint="default" w:ascii="Times New Roman" w:hAnsi="Times New Roman" w:cs="Times New Roman"/>
          <w:i w:val="0"/>
          <w:iCs w:val="0"/>
          <w:caps w:val="0"/>
          <w:color w:val="000000"/>
          <w:spacing w:val="0"/>
          <w:sz w:val="19"/>
          <w:szCs w:val="19"/>
        </w:rPr>
      </w:pPr>
      <w:r>
        <w:rPr>
          <w:rFonts w:hint="default" w:ascii="Times New Roman" w:hAnsi="Times New Roman" w:cs="Times New Roman"/>
          <w:i w:val="0"/>
          <w:iCs w:val="0"/>
          <w:caps w:val="0"/>
          <w:color w:val="000000"/>
          <w:spacing w:val="0"/>
          <w:sz w:val="19"/>
          <w:szCs w:val="19"/>
        </w:rPr>
        <w:t>Ayenew, D. (2023, August 24). </w:t>
      </w:r>
      <w:r>
        <w:rPr>
          <w:rFonts w:hint="default" w:ascii="Times New Roman" w:hAnsi="Times New Roman" w:cs="Times New Roman"/>
          <w:i/>
          <w:iCs/>
          <w:caps w:val="0"/>
          <w:color w:val="000000"/>
          <w:spacing w:val="0"/>
          <w:sz w:val="19"/>
          <w:szCs w:val="19"/>
        </w:rPr>
        <w:t>Ethical Considerations – Types &amp; Examples</w:t>
      </w:r>
      <w:r>
        <w:rPr>
          <w:rFonts w:hint="default" w:ascii="Times New Roman" w:hAnsi="Times New Roman" w:cs="Times New Roman"/>
          <w:i w:val="0"/>
          <w:iCs w:val="0"/>
          <w:caps w:val="0"/>
          <w:color w:val="000000"/>
          <w:spacing w:val="0"/>
          <w:sz w:val="19"/>
          <w:szCs w:val="19"/>
        </w:rPr>
        <w:t xml:space="preserve">. Bachelorprint.com. </w:t>
      </w:r>
      <w:r>
        <w:rPr>
          <w:rFonts w:hint="default" w:ascii="Times New Roman" w:hAnsi="Times New Roman" w:cs="Times New Roman"/>
          <w:i w:val="0"/>
          <w:iCs w:val="0"/>
          <w:caps w:val="0"/>
          <w:color w:val="000000"/>
          <w:spacing w:val="0"/>
          <w:sz w:val="19"/>
          <w:szCs w:val="19"/>
        </w:rPr>
        <w:fldChar w:fldCharType="begin"/>
      </w:r>
      <w:r>
        <w:rPr>
          <w:rFonts w:hint="default" w:ascii="Times New Roman" w:hAnsi="Times New Roman" w:cs="Times New Roman"/>
          <w:i w:val="0"/>
          <w:iCs w:val="0"/>
          <w:caps w:val="0"/>
          <w:color w:val="000000"/>
          <w:spacing w:val="0"/>
          <w:sz w:val="19"/>
          <w:szCs w:val="19"/>
        </w:rPr>
        <w:instrText xml:space="preserve"> HYPERLINK "https://www.bachelorprint.com/methodology/ethical-considerations/" </w:instrText>
      </w:r>
      <w:r>
        <w:rPr>
          <w:rFonts w:hint="default" w:ascii="Times New Roman" w:hAnsi="Times New Roman" w:cs="Times New Roman"/>
          <w:i w:val="0"/>
          <w:iCs w:val="0"/>
          <w:caps w:val="0"/>
          <w:color w:val="000000"/>
          <w:spacing w:val="0"/>
          <w:sz w:val="19"/>
          <w:szCs w:val="19"/>
        </w:rPr>
        <w:fldChar w:fldCharType="separate"/>
      </w:r>
      <w:r>
        <w:rPr>
          <w:rStyle w:val="7"/>
          <w:rFonts w:hint="default" w:ascii="Times New Roman" w:hAnsi="Times New Roman" w:cs="Times New Roman"/>
          <w:i w:val="0"/>
          <w:iCs w:val="0"/>
          <w:caps w:val="0"/>
          <w:spacing w:val="0"/>
          <w:sz w:val="19"/>
          <w:szCs w:val="19"/>
        </w:rPr>
        <w:t>https://www.bachelorprint.com/methodology/ethical-considerations/</w:t>
      </w:r>
      <w:r>
        <w:rPr>
          <w:rFonts w:hint="default" w:ascii="Times New Roman" w:hAnsi="Times New Roman" w:cs="Times New Roman"/>
          <w:i w:val="0"/>
          <w:iCs w:val="0"/>
          <w:caps w:val="0"/>
          <w:color w:val="000000"/>
          <w:spacing w:val="0"/>
          <w:sz w:val="19"/>
          <w:szCs w:val="19"/>
        </w:rPr>
        <w:fldChar w:fldCharType="end"/>
      </w:r>
    </w:p>
    <w:p>
      <w:pPr>
        <w:pStyle w:val="8"/>
        <w:keepNext w:val="0"/>
        <w:keepLines w:val="0"/>
        <w:widowControl/>
        <w:suppressLineNumbers w:val="0"/>
        <w:spacing w:before="0" w:beforeAutospacing="0" w:after="0" w:afterAutospacing="0" w:line="420" w:lineRule="atLeast"/>
        <w:ind w:left="525" w:hanging="525"/>
        <w:rPr>
          <w:rFonts w:hint="default" w:ascii="Times New Roman" w:hAnsi="Times New Roman" w:cs="Times New Roman"/>
          <w:i w:val="0"/>
          <w:iCs w:val="0"/>
          <w:caps w:val="0"/>
          <w:color w:val="000000"/>
          <w:spacing w:val="0"/>
          <w:sz w:val="19"/>
          <w:szCs w:val="19"/>
        </w:rPr>
      </w:pPr>
    </w:p>
    <w:p>
      <w:pPr>
        <w:pStyle w:val="8"/>
        <w:spacing w:before="0" w:beforeAutospacing="0" w:after="0" w:afterAutospacing="0" w:line="360" w:lineRule="auto"/>
        <w:ind w:left="600" w:hanging="600"/>
        <w:rPr>
          <w:color w:val="000000"/>
        </w:rPr>
      </w:pPr>
      <w:r>
        <w:rPr>
          <w:color w:val="000000"/>
        </w:rPr>
        <w:t>BDO. (2021, January 12). </w:t>
      </w:r>
      <w:r>
        <w:rPr>
          <w:i/>
          <w:iCs/>
          <w:color w:val="000000"/>
        </w:rPr>
        <w:t>Supply Chain 4.0: 6 Ways Digital Transformation is Transforming the Supply Chain</w:t>
      </w:r>
      <w:r>
        <w:rPr>
          <w:color w:val="000000"/>
        </w:rPr>
        <w:t xml:space="preserve">. BDO. </w:t>
      </w:r>
      <w:r>
        <w:fldChar w:fldCharType="begin"/>
      </w:r>
      <w:r>
        <w:instrText xml:space="preserve"> HYPERLINK "https://www.bdodigital.com/insights/digital-transformation/supply-chain-4-0-6-ways-digital-transformation-is-transforming-the-supply-chain" \l ":~:text=Digital%20transformation%20is%20shaping%20the,intelligence%20(AI)%20and%20automation" </w:instrText>
      </w:r>
      <w:r>
        <w:fldChar w:fldCharType="separate"/>
      </w:r>
      <w:r>
        <w:rPr>
          <w:rStyle w:val="7"/>
        </w:rPr>
        <w:t>https://www.bdodigital.com/insights/digital-transformation/supply-chain-4-0-6-ways-digital-transformation-is-transforming-the-supply-chain#:~:text=Digital%20transformation%20is%20shaping%20the,intelligence%20(AI)%20and%20automation</w:t>
      </w:r>
      <w:r>
        <w:rPr>
          <w:rStyle w:val="7"/>
        </w:rPr>
        <w:fldChar w:fldCharType="end"/>
      </w:r>
      <w:r>
        <w:rPr>
          <w:color w:val="000000"/>
        </w:rPr>
        <w:t>.</w:t>
      </w:r>
    </w:p>
    <w:p>
      <w:pPr>
        <w:pStyle w:val="8"/>
        <w:spacing w:before="0" w:beforeAutospacing="0" w:after="0" w:afterAutospacing="0" w:line="360" w:lineRule="auto"/>
        <w:ind w:left="600" w:hanging="600"/>
        <w:rPr>
          <w:color w:val="000000"/>
        </w:rPr>
      </w:pPr>
      <w:r>
        <w:rPr>
          <w:color w:val="000000"/>
        </w:rPr>
        <w:t>Christopher, M., &amp; Towill, D. (2001, May). </w:t>
      </w:r>
      <w:r>
        <w:rPr>
          <w:i/>
          <w:iCs/>
          <w:color w:val="000000"/>
        </w:rPr>
        <w:t>An Integrated Model for the Design of Agile Supply Chains</w:t>
      </w:r>
      <w:r>
        <w:rPr>
          <w:color w:val="000000"/>
        </w:rPr>
        <w:t xml:space="preserve">. ResearchGate; Emerald. </w:t>
      </w:r>
      <w:r>
        <w:fldChar w:fldCharType="begin"/>
      </w:r>
      <w:r>
        <w:instrText xml:space="preserve"> HYPERLINK "https://www.researchgate.net/publication/235277869_An_Integrated_Model_for_the_Design_of_Agile_Supply_Chains" </w:instrText>
      </w:r>
      <w:r>
        <w:fldChar w:fldCharType="separate"/>
      </w:r>
      <w:r>
        <w:rPr>
          <w:rStyle w:val="7"/>
        </w:rPr>
        <w:t>https://www.researchgate.net/publication/235277869_An_Integrated_Model_for_the_Design_of_Agile_Supply_Chains</w:t>
      </w:r>
      <w:r>
        <w:rPr>
          <w:rStyle w:val="7"/>
        </w:rPr>
        <w:fldChar w:fldCharType="end"/>
      </w:r>
    </w:p>
    <w:p>
      <w:pPr>
        <w:pStyle w:val="8"/>
        <w:spacing w:before="0" w:beforeAutospacing="0" w:after="0" w:afterAutospacing="0" w:line="360" w:lineRule="auto"/>
        <w:ind w:left="600" w:hanging="600"/>
        <w:rPr>
          <w:color w:val="000000"/>
        </w:rPr>
      </w:pPr>
      <w:r>
        <w:rPr>
          <w:color w:val="000000"/>
        </w:rPr>
        <w:t>Haque, E., Koohi, P., Waqar, K., &amp; Thornton, H. (2023). </w:t>
      </w:r>
      <w:r>
        <w:rPr>
          <w:i/>
          <w:iCs/>
          <w:color w:val="000000"/>
        </w:rPr>
        <w:t>The Significance of Digital Transformation in the Supply Chain Management for Facilitating International Businesses Cases from Emerging Markets</w:t>
      </w:r>
      <w:r>
        <w:rPr>
          <w:color w:val="000000"/>
        </w:rPr>
        <w:t xml:space="preserve">. </w:t>
      </w:r>
      <w:r>
        <w:fldChar w:fldCharType="begin"/>
      </w:r>
      <w:r>
        <w:instrText xml:space="preserve"> HYPERLINK "https://www.diva-portal.org/smash/get/diva2:1770830/FULLTEXT01.pdf" </w:instrText>
      </w:r>
      <w:r>
        <w:fldChar w:fldCharType="separate"/>
      </w:r>
      <w:r>
        <w:rPr>
          <w:rStyle w:val="7"/>
        </w:rPr>
        <w:t>https://www.diva-portal.org/smash/get/diva2:1770830/FULLTEXT01.pdf</w:t>
      </w:r>
      <w:r>
        <w:rPr>
          <w:rStyle w:val="7"/>
        </w:rPr>
        <w:fldChar w:fldCharType="end"/>
      </w:r>
    </w:p>
    <w:p>
      <w:pPr>
        <w:pStyle w:val="8"/>
        <w:spacing w:before="0" w:beforeAutospacing="0" w:after="0" w:afterAutospacing="0" w:line="360" w:lineRule="auto"/>
        <w:ind w:left="600" w:hanging="600"/>
        <w:rPr>
          <w:color w:val="000000"/>
        </w:rPr>
      </w:pPr>
      <w:r>
        <w:rPr>
          <w:color w:val="000000"/>
        </w:rPr>
        <w:t>Huyler, D., &amp; McGill, C. M. (2019, July). </w:t>
      </w:r>
      <w:r>
        <w:rPr>
          <w:i/>
          <w:iCs/>
          <w:color w:val="000000"/>
        </w:rPr>
        <w:t>Research Design: Qualitative, Quantitative, and Mixed Methods Approaches, by John Creswell and J. David...</w:t>
      </w:r>
      <w:r>
        <w:rPr>
          <w:color w:val="000000"/>
        </w:rPr>
        <w:t xml:space="preserve"> ResearchGate; SAGE. </w:t>
      </w:r>
      <w:r>
        <w:fldChar w:fldCharType="begin"/>
      </w:r>
      <w:r>
        <w:instrText xml:space="preserve"> HYPERLINK "https://www.researchgate.net/publication/336223127_Research_Design_Qualitative_Quantitative_and_Mixed_Methods_Approaches_by_John_Creswell_and_J_David_Creswell_Thousand_Oaks_CA_Sage_Publication_Inc_275_pages_6700_Paperback" </w:instrText>
      </w:r>
      <w:r>
        <w:fldChar w:fldCharType="separate"/>
      </w:r>
      <w:r>
        <w:rPr>
          <w:rStyle w:val="7"/>
        </w:rPr>
        <w:t>https://www.researchgate.net/publication/336223127_Research_Design_Qualitative_Quantitative_and_Mixed_Methods_Approaches_by_John_Creswell_and_J_David_Creswell_Thousand_Oaks_CA_Sage_Publication_Inc_275_pages_6700_Paperback</w:t>
      </w:r>
      <w:r>
        <w:rPr>
          <w:rStyle w:val="7"/>
        </w:rPr>
        <w:fldChar w:fldCharType="end"/>
      </w:r>
    </w:p>
    <w:p>
      <w:pPr>
        <w:pStyle w:val="8"/>
        <w:spacing w:before="0" w:beforeAutospacing="0" w:after="0" w:afterAutospacing="0" w:line="360" w:lineRule="auto"/>
        <w:ind w:left="600" w:hanging="600"/>
        <w:rPr>
          <w:color w:val="000000"/>
        </w:rPr>
      </w:pPr>
      <w:r>
        <w:rPr>
          <w:color w:val="000000"/>
        </w:rPr>
        <w:t>Ivanov, D. (2020). Predicting the impacts of epidemic outbreaks on global supply chains: A simulation-based analysis on the coronavirus outbreak (COVID-19/SARS-CoV-2) case. </w:t>
      </w:r>
      <w:r>
        <w:rPr>
          <w:i/>
          <w:iCs/>
          <w:color w:val="000000"/>
        </w:rPr>
        <w:t>Transportation Research Part E: Logistics and Transportation Review</w:t>
      </w:r>
      <w:r>
        <w:rPr>
          <w:color w:val="000000"/>
        </w:rPr>
        <w:t>, </w:t>
      </w:r>
      <w:r>
        <w:rPr>
          <w:i/>
          <w:iCs/>
          <w:color w:val="000000"/>
        </w:rPr>
        <w:t>136</w:t>
      </w:r>
      <w:r>
        <w:rPr>
          <w:color w:val="000000"/>
        </w:rPr>
        <w:t xml:space="preserve">, 101922–101922. </w:t>
      </w:r>
      <w:r>
        <w:fldChar w:fldCharType="begin"/>
      </w:r>
      <w:r>
        <w:instrText xml:space="preserve"> HYPERLINK "https://doi.org/10.1016/j.tre.2020.101922" </w:instrText>
      </w:r>
      <w:r>
        <w:fldChar w:fldCharType="separate"/>
      </w:r>
      <w:r>
        <w:rPr>
          <w:rStyle w:val="7"/>
        </w:rPr>
        <w:t>https://doi.org/10.1016/j.tre.2020.101922</w:t>
      </w:r>
      <w:r>
        <w:rPr>
          <w:rStyle w:val="7"/>
        </w:rPr>
        <w:fldChar w:fldCharType="end"/>
      </w:r>
    </w:p>
    <w:p>
      <w:pPr>
        <w:pStyle w:val="8"/>
        <w:spacing w:before="0" w:beforeAutospacing="0" w:after="0" w:afterAutospacing="0" w:line="360" w:lineRule="auto"/>
        <w:ind w:left="600" w:hanging="600"/>
        <w:rPr>
          <w:color w:val="000000"/>
        </w:rPr>
      </w:pPr>
      <w:r>
        <w:rPr>
          <w:color w:val="000000"/>
        </w:rPr>
        <w:t>Mangan, J., &amp; Lalwani, C. (2016). </w:t>
      </w:r>
      <w:r>
        <w:rPr>
          <w:i/>
          <w:iCs/>
          <w:color w:val="000000"/>
        </w:rPr>
        <w:t>Global Logistics and Supply Chain Management</w:t>
      </w:r>
      <w:r>
        <w:rPr>
          <w:color w:val="000000"/>
        </w:rPr>
        <w:t xml:space="preserve">. Google Books. </w:t>
      </w:r>
      <w:r>
        <w:fldChar w:fldCharType="begin"/>
      </w:r>
      <w:r>
        <w:instrText xml:space="preserve"> HYPERLINK "https://books.google.com.pk/books?id=2cw6rgEACAAJ&amp;pg=PA26&amp;source=gbs_selected_pages&amp;cad=2" \l "v=onepage&amp;q&amp;f=false" </w:instrText>
      </w:r>
      <w:r>
        <w:fldChar w:fldCharType="separate"/>
      </w:r>
      <w:r>
        <w:rPr>
          <w:rStyle w:val="7"/>
        </w:rPr>
        <w:t>https://books.google.com.pk/books?id=2cw6rgEACAAJ&amp;pg=PA26&amp;source=gbs_selected_pages&amp;cad=2#v=onepage&amp;q&amp;f=false</w:t>
      </w:r>
      <w:r>
        <w:rPr>
          <w:rStyle w:val="7"/>
        </w:rPr>
        <w:fldChar w:fldCharType="end"/>
      </w:r>
    </w:p>
    <w:p>
      <w:pPr>
        <w:pStyle w:val="8"/>
        <w:spacing w:before="0" w:beforeAutospacing="0" w:after="0" w:afterAutospacing="0" w:line="360" w:lineRule="auto"/>
        <w:ind w:left="600" w:hanging="600"/>
        <w:rPr>
          <w:color w:val="000000"/>
        </w:rPr>
      </w:pPr>
      <w:r>
        <w:rPr>
          <w:color w:val="000000"/>
        </w:rPr>
        <w:t>Moher, D., Liberati, A., Tetzlaff, J. M., &amp; Altman, D. (2009, July 21). </w:t>
      </w:r>
      <w:r>
        <w:rPr>
          <w:i/>
          <w:iCs/>
          <w:color w:val="000000"/>
        </w:rPr>
        <w:t>Moher D, Liberati A, Tetzlaff J, Altman DG, Group PPreferred reporting items for systematic reviews and...</w:t>
      </w:r>
      <w:r>
        <w:rPr>
          <w:color w:val="000000"/>
        </w:rPr>
        <w:t xml:space="preserve"> ResearchGate; unknown. </w:t>
      </w:r>
      <w:r>
        <w:fldChar w:fldCharType="begin"/>
      </w:r>
      <w:r>
        <w:instrText xml:space="preserve"> HYPERLINK "https://www.researchgate.net/publication/51156625_Moher_D_Liberati_A_Tetzlaff_J_Altman_DG_Group_PPreferred_reporting_items_for_systematic_reviews_and_meta-analyses_the_PRISMA_statement_PLoS_Med_6_e1000097" </w:instrText>
      </w:r>
      <w:r>
        <w:fldChar w:fldCharType="separate"/>
      </w:r>
      <w:r>
        <w:rPr>
          <w:rStyle w:val="7"/>
        </w:rPr>
        <w:t>https://www.researchgate.net/publication/51156625_Moher_D_Liberati_A_Tetzlaff_J_Altman_DG_Group_PPreferred_reporting_items_for_systematic_reviews_and_meta-analyses_the_PRISMA_statement_PLoS_Med_6_e1000097</w:t>
      </w:r>
      <w:r>
        <w:rPr>
          <w:rStyle w:val="7"/>
        </w:rPr>
        <w:fldChar w:fldCharType="end"/>
      </w:r>
    </w:p>
    <w:p>
      <w:pPr>
        <w:pStyle w:val="8"/>
        <w:spacing w:before="0" w:beforeAutospacing="0" w:after="0" w:afterAutospacing="0" w:line="360" w:lineRule="auto"/>
        <w:ind w:left="600" w:hanging="600"/>
        <w:rPr>
          <w:color w:val="000000"/>
        </w:rPr>
      </w:pPr>
      <w:r>
        <w:rPr>
          <w:color w:val="000000"/>
        </w:rPr>
        <w:t>Ning, L., &amp; Yao, D. (2023). The Impact of Digital Transformation on Supply Chain Capabilities and Supply Chain Competitive Performance. </w:t>
      </w:r>
      <w:r>
        <w:rPr>
          <w:i/>
          <w:iCs/>
          <w:color w:val="000000"/>
        </w:rPr>
        <w:t>Sustainability</w:t>
      </w:r>
      <w:r>
        <w:rPr>
          <w:color w:val="000000"/>
        </w:rPr>
        <w:t>, </w:t>
      </w:r>
      <w:r>
        <w:rPr>
          <w:i/>
          <w:iCs/>
          <w:color w:val="000000"/>
        </w:rPr>
        <w:t>15</w:t>
      </w:r>
      <w:r>
        <w:rPr>
          <w:color w:val="000000"/>
        </w:rPr>
        <w:t xml:space="preserve">(13), 10107–10107. </w:t>
      </w:r>
      <w:r>
        <w:fldChar w:fldCharType="begin"/>
      </w:r>
      <w:r>
        <w:instrText xml:space="preserve"> HYPERLINK "https://doi.org/10.3390/su151310107" </w:instrText>
      </w:r>
      <w:r>
        <w:fldChar w:fldCharType="separate"/>
      </w:r>
      <w:r>
        <w:rPr>
          <w:rStyle w:val="7"/>
        </w:rPr>
        <w:t>https://doi.org/10.3390/su151310107</w:t>
      </w:r>
      <w:r>
        <w:rPr>
          <w:rStyle w:val="7"/>
        </w:rPr>
        <w:fldChar w:fldCharType="end"/>
      </w:r>
    </w:p>
    <w:p>
      <w:pPr>
        <w:pStyle w:val="8"/>
        <w:spacing w:before="0" w:beforeAutospacing="0" w:after="0" w:afterAutospacing="0" w:line="360" w:lineRule="auto"/>
        <w:ind w:left="600" w:hanging="600"/>
        <w:rPr>
          <w:color w:val="000000"/>
        </w:rPr>
      </w:pPr>
      <w:r>
        <w:rPr>
          <w:color w:val="000000"/>
        </w:rPr>
        <w:t>Singh, S. (2021, December 24). </w:t>
      </w:r>
      <w:r>
        <w:rPr>
          <w:i/>
          <w:iCs/>
          <w:color w:val="000000"/>
        </w:rPr>
        <w:t>Supply Chain Digital Transformation: Why It Should Matter to Your Organization?</w:t>
      </w:r>
      <w:r>
        <w:rPr>
          <w:color w:val="000000"/>
        </w:rPr>
        <w:t xml:space="preserve"> Appinventiv; Appinventiv. </w:t>
      </w:r>
      <w:r>
        <w:fldChar w:fldCharType="begin"/>
      </w:r>
      <w:r>
        <w:instrText xml:space="preserve"> HYPERLINK "https://appinventiv.com/blog/digital-transformation-in-supply-chain-management/" </w:instrText>
      </w:r>
      <w:r>
        <w:fldChar w:fldCharType="separate"/>
      </w:r>
      <w:r>
        <w:rPr>
          <w:rStyle w:val="7"/>
        </w:rPr>
        <w:t>https://appinventiv.com/blog/digital-transformation-in-supply-chain-management/</w:t>
      </w:r>
      <w:r>
        <w:rPr>
          <w:rStyle w:val="7"/>
        </w:rPr>
        <w:fldChar w:fldCharType="end"/>
      </w:r>
    </w:p>
    <w:p>
      <w:pPr>
        <w:pStyle w:val="8"/>
        <w:spacing w:before="0" w:beforeAutospacing="0" w:after="0" w:afterAutospacing="0" w:line="360" w:lineRule="auto"/>
        <w:ind w:left="600" w:hanging="600"/>
        <w:rPr>
          <w:color w:val="000000"/>
        </w:rPr>
      </w:pPr>
      <w:bookmarkStart w:id="24" w:name="_GoBack"/>
      <w:r>
        <w:rPr>
          <w:color w:val="000000"/>
        </w:rPr>
        <w:t>Stock, J. R., &amp; Boyer, S. L. (2009, September 4). </w:t>
      </w:r>
      <w:r>
        <w:rPr>
          <w:i/>
          <w:iCs/>
          <w:color w:val="000000"/>
        </w:rPr>
        <w:t>Developing a consensus definition of supply chain management: A qualitative study</w:t>
      </w:r>
      <w:r>
        <w:rPr>
          <w:color w:val="000000"/>
        </w:rPr>
        <w:t xml:space="preserve">. ResearchGate; Emerald. </w:t>
      </w:r>
      <w:r>
        <w:fldChar w:fldCharType="begin"/>
      </w:r>
      <w:r>
        <w:instrText xml:space="preserve"> HYPERLINK "https://www.researchgate.net/publication/242020354_Developing_a_consensus_definition_of_supply_chain_management_A_qualitative_study" </w:instrText>
      </w:r>
      <w:r>
        <w:fldChar w:fldCharType="separate"/>
      </w:r>
      <w:r>
        <w:rPr>
          <w:rStyle w:val="7"/>
        </w:rPr>
        <w:t>https://www.researchgate.net/publication/242020354_Developing_a_consensus_definition_of_supply_chain_management_A_qualitative_study</w:t>
      </w:r>
      <w:r>
        <w:rPr>
          <w:rStyle w:val="7"/>
        </w:rPr>
        <w:fldChar w:fldCharType="end"/>
      </w:r>
    </w:p>
    <w:bookmarkEnd w:id="24"/>
    <w:p>
      <w:pPr>
        <w:pStyle w:val="8"/>
        <w:spacing w:before="0" w:beforeAutospacing="0" w:after="0" w:afterAutospacing="0" w:line="360" w:lineRule="auto"/>
        <w:ind w:left="600" w:hanging="600"/>
        <w:rPr>
          <w:color w:val="000000"/>
        </w:rPr>
      </w:pPr>
      <w:r>
        <w:rPr>
          <w:color w:val="000000"/>
        </w:rPr>
        <w:t>Wang, G., Angappa Gunasekaran, Ngai, E., &amp; Papadopoulos, T. (2016, March). </w:t>
      </w:r>
      <w:r>
        <w:rPr>
          <w:i/>
          <w:iCs/>
          <w:color w:val="000000"/>
        </w:rPr>
        <w:t>Big data analytics in logistics and supply chain management: Certain Investigations for research and...</w:t>
      </w:r>
      <w:r>
        <w:rPr>
          <w:color w:val="000000"/>
        </w:rPr>
        <w:t xml:space="preserve"> ResearchGate; Elsevier BV. </w:t>
      </w:r>
      <w:r>
        <w:fldChar w:fldCharType="begin"/>
      </w:r>
      <w:r>
        <w:instrText xml:space="preserve"> HYPERLINK "https://www.researchgate.net/publication/299443927_Big_data_analytics_in_logistics_and_supply_chain_management_Certain_Investigations_for_research_and_applications" </w:instrText>
      </w:r>
      <w:r>
        <w:fldChar w:fldCharType="separate"/>
      </w:r>
      <w:r>
        <w:rPr>
          <w:rStyle w:val="7"/>
        </w:rPr>
        <w:t>https://www.researchgate.net/publication/299443927_Big_data_analytics_in_logistics_and_supply_chain_management_Certain_Investigations_for_research_and_applications</w:t>
      </w:r>
      <w:r>
        <w:rPr>
          <w:rStyle w:val="7"/>
        </w:rPr>
        <w:fldChar w:fldCharType="end"/>
      </w:r>
    </w:p>
    <w:p>
      <w:pPr>
        <w:pStyle w:val="8"/>
        <w:spacing w:before="0" w:beforeAutospacing="0" w:after="0" w:afterAutospacing="0" w:line="360" w:lineRule="auto"/>
        <w:ind w:left="600" w:hanging="600"/>
        <w:rPr>
          <w:color w:val="0563C1" w:themeColor="hyperlink"/>
          <w:u w:val="single"/>
          <w14:textFill>
            <w14:solidFill>
              <w14:schemeClr w14:val="hlink"/>
            </w14:solidFill>
          </w14:textFill>
        </w:rPr>
      </w:pPr>
      <w:r>
        <w:rPr>
          <w:color w:val="000000"/>
        </w:rPr>
        <w:t>World Economic Forum. (2018). </w:t>
      </w:r>
      <w:r>
        <w:rPr>
          <w:i/>
          <w:iCs/>
          <w:color w:val="000000"/>
        </w:rPr>
        <w:t>Readiness for the Future of Production Report 2018</w:t>
      </w:r>
      <w:r>
        <w:rPr>
          <w:color w:val="000000"/>
        </w:rPr>
        <w:t xml:space="preserve">. </w:t>
      </w:r>
      <w:r>
        <w:fldChar w:fldCharType="begin"/>
      </w:r>
      <w:r>
        <w:instrText xml:space="preserve"> HYPERLINK "https://www3.weforum.org/docs/FOP_Readiness_Report_2018.pdf" </w:instrText>
      </w:r>
      <w:r>
        <w:fldChar w:fldCharType="separate"/>
      </w:r>
      <w:r>
        <w:rPr>
          <w:rStyle w:val="7"/>
        </w:rPr>
        <w:t>https://www3.weforum.org/docs/FOP_Readiness_Report_2018.pdf</w:t>
      </w:r>
      <w:r>
        <w:rPr>
          <w:rStyle w:val="7"/>
        </w:rPr>
        <w:fldChar w:fldCharType="end"/>
      </w:r>
    </w:p>
    <w:p>
      <w:pPr>
        <w:pStyle w:val="8"/>
        <w:rPr>
          <w:color w:val="000000"/>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C8A5A4"/>
    <w:multiLevelType w:val="singleLevel"/>
    <w:tmpl w:val="ACC8A5A4"/>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1AE91B7F"/>
    <w:multiLevelType w:val="multilevel"/>
    <w:tmpl w:val="1AE91B7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29C36306"/>
    <w:multiLevelType w:val="multilevel"/>
    <w:tmpl w:val="29C3630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75AF05A1"/>
    <w:multiLevelType w:val="multilevel"/>
    <w:tmpl w:val="75AF05A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7F0"/>
    <w:rsid w:val="000123DB"/>
    <w:rsid w:val="000A1063"/>
    <w:rsid w:val="001476D7"/>
    <w:rsid w:val="001673C3"/>
    <w:rsid w:val="002C5260"/>
    <w:rsid w:val="003744FC"/>
    <w:rsid w:val="003A49B2"/>
    <w:rsid w:val="00441B77"/>
    <w:rsid w:val="004D3410"/>
    <w:rsid w:val="004E05AA"/>
    <w:rsid w:val="004E3322"/>
    <w:rsid w:val="00626951"/>
    <w:rsid w:val="006C3F42"/>
    <w:rsid w:val="00844501"/>
    <w:rsid w:val="00896255"/>
    <w:rsid w:val="009422D1"/>
    <w:rsid w:val="009467F0"/>
    <w:rsid w:val="009549E7"/>
    <w:rsid w:val="00A35FEF"/>
    <w:rsid w:val="00A45505"/>
    <w:rsid w:val="00AF01FC"/>
    <w:rsid w:val="00BD411A"/>
    <w:rsid w:val="00BF1055"/>
    <w:rsid w:val="00C1001E"/>
    <w:rsid w:val="00C2386B"/>
    <w:rsid w:val="00C8388E"/>
    <w:rsid w:val="00CF712D"/>
    <w:rsid w:val="00D2183F"/>
    <w:rsid w:val="00D8262C"/>
    <w:rsid w:val="00DD1729"/>
    <w:rsid w:val="00DD5501"/>
    <w:rsid w:val="00E561AC"/>
    <w:rsid w:val="00EC0E8F"/>
    <w:rsid w:val="00EC7E23"/>
    <w:rsid w:val="273106C4"/>
    <w:rsid w:val="27584592"/>
    <w:rsid w:val="2A1675F3"/>
    <w:rsid w:val="33246094"/>
    <w:rsid w:val="51C64168"/>
    <w:rsid w:val="51CA4893"/>
    <w:rsid w:val="5B3710B2"/>
    <w:rsid w:val="67301C73"/>
    <w:rsid w:val="701E3596"/>
    <w:rsid w:val="729E401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2"/>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next w:val="1"/>
    <w:link w:val="13"/>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paragraph" w:styleId="4">
    <w:name w:val="heading 3"/>
    <w:basedOn w:val="1"/>
    <w:next w:val="1"/>
    <w:link w:val="14"/>
    <w:unhideWhenUsed/>
    <w:qFormat/>
    <w:uiPriority w:val="9"/>
    <w:pPr>
      <w:keepNext/>
      <w:keepLines/>
      <w:spacing w:before="40" w:after="0"/>
      <w:outlineLvl w:val="2"/>
    </w:pPr>
    <w:rPr>
      <w:rFonts w:asciiTheme="majorHAnsi" w:hAnsiTheme="majorHAnsi" w:eastAsiaTheme="majorEastAsia" w:cstheme="majorBidi"/>
      <w:color w:val="203864" w:themeColor="accent1" w:themeShade="80"/>
      <w:sz w:val="24"/>
      <w:szCs w:val="24"/>
    </w:rPr>
  </w:style>
  <w:style w:type="character" w:default="1" w:styleId="5">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Hyperlink"/>
    <w:basedOn w:val="5"/>
    <w:unhideWhenUsed/>
    <w:uiPriority w:val="99"/>
    <w:rPr>
      <w:color w:val="0563C1" w:themeColor="hyperlink"/>
      <w:u w:val="single"/>
      <w14:textFill>
        <w14:solidFill>
          <w14:schemeClr w14:val="hlink"/>
        </w14:solidFill>
      </w14:textFill>
    </w:rPr>
  </w:style>
  <w:style w:type="paragraph" w:styleId="8">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9">
    <w:name w:val="toc 1"/>
    <w:basedOn w:val="1"/>
    <w:next w:val="1"/>
    <w:unhideWhenUsed/>
    <w:qFormat/>
    <w:uiPriority w:val="39"/>
    <w:pPr>
      <w:spacing w:after="100"/>
    </w:pPr>
  </w:style>
  <w:style w:type="paragraph" w:styleId="10">
    <w:name w:val="toc 2"/>
    <w:basedOn w:val="1"/>
    <w:next w:val="1"/>
    <w:unhideWhenUsed/>
    <w:qFormat/>
    <w:uiPriority w:val="39"/>
    <w:pPr>
      <w:spacing w:after="100"/>
      <w:ind w:left="220"/>
    </w:pPr>
  </w:style>
  <w:style w:type="paragraph" w:styleId="11">
    <w:name w:val="toc 3"/>
    <w:basedOn w:val="1"/>
    <w:next w:val="1"/>
    <w:unhideWhenUsed/>
    <w:uiPriority w:val="39"/>
    <w:pPr>
      <w:spacing w:after="100"/>
      <w:ind w:left="440"/>
    </w:pPr>
  </w:style>
  <w:style w:type="character" w:customStyle="1" w:styleId="12">
    <w:name w:val="Heading 1 Char"/>
    <w:basedOn w:val="5"/>
    <w:link w:val="2"/>
    <w:uiPriority w:val="9"/>
    <w:rPr>
      <w:rFonts w:asciiTheme="majorHAnsi" w:hAnsiTheme="majorHAnsi" w:eastAsiaTheme="majorEastAsia" w:cstheme="majorBidi"/>
      <w:color w:val="2F5597" w:themeColor="accent1" w:themeShade="BF"/>
      <w:sz w:val="32"/>
      <w:szCs w:val="32"/>
    </w:rPr>
  </w:style>
  <w:style w:type="character" w:customStyle="1" w:styleId="13">
    <w:name w:val="Heading 2 Char"/>
    <w:basedOn w:val="5"/>
    <w:link w:val="3"/>
    <w:uiPriority w:val="9"/>
    <w:rPr>
      <w:rFonts w:asciiTheme="majorHAnsi" w:hAnsiTheme="majorHAnsi" w:eastAsiaTheme="majorEastAsia" w:cstheme="majorBidi"/>
      <w:color w:val="2F5597" w:themeColor="accent1" w:themeShade="BF"/>
      <w:sz w:val="26"/>
      <w:szCs w:val="26"/>
    </w:rPr>
  </w:style>
  <w:style w:type="character" w:customStyle="1" w:styleId="14">
    <w:name w:val="Heading 3 Char"/>
    <w:basedOn w:val="5"/>
    <w:link w:val="4"/>
    <w:uiPriority w:val="9"/>
    <w:rPr>
      <w:rFonts w:asciiTheme="majorHAnsi" w:hAnsiTheme="majorHAnsi" w:eastAsiaTheme="majorEastAsia" w:cstheme="majorBidi"/>
      <w:color w:val="203864" w:themeColor="accent1" w:themeShade="80"/>
      <w:sz w:val="24"/>
      <w:szCs w:val="24"/>
    </w:rPr>
  </w:style>
  <w:style w:type="character" w:customStyle="1" w:styleId="15">
    <w:name w:val="Unresolved Mention"/>
    <w:basedOn w:val="5"/>
    <w:semiHidden/>
    <w:unhideWhenUsed/>
    <w:uiPriority w:val="99"/>
    <w:rPr>
      <w:color w:val="605E5C"/>
      <w:shd w:val="clear" w:color="auto" w:fill="E1DFDD"/>
    </w:rPr>
  </w:style>
  <w:style w:type="paragraph" w:styleId="16">
    <w:name w:val="List Paragraph"/>
    <w:basedOn w:val="1"/>
    <w:qFormat/>
    <w:uiPriority w:val="34"/>
    <w:pPr>
      <w:ind w:left="720"/>
      <w:contextualSpacing/>
    </w:pPr>
  </w:style>
  <w:style w:type="paragraph" w:customStyle="1" w:styleId="17">
    <w:name w:val="TOC Heading"/>
    <w:basedOn w:val="2"/>
    <w:next w:val="1"/>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A76FE-44B6-434D-BF85-A337654B08DC}">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4638</Words>
  <Characters>26441</Characters>
  <Lines>220</Lines>
  <Paragraphs>62</Paragraphs>
  <TotalTime>0</TotalTime>
  <ScaleCrop>false</ScaleCrop>
  <LinksUpToDate>false</LinksUpToDate>
  <CharactersWithSpaces>31017</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2023-12-28T11:41:00Z</dcterms:created>
  <dc:creator>Ahmed Ali</dc:creator>
  <cp:lastModifiedBy>FURQAN ALI</cp:lastModifiedBy>
  <dcterms:modified xsi:type="dcterms:W3CDTF">2023-12-28T13:23:21Z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EF43CCCA916541EEA5CAA7EF6338EA81_13</vt:lpwstr>
  </property>
</Properties>
</file>