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jc w:val="center"/>
        <w:rPr>
          <w:rFonts w:ascii="Times New Roman" w:hAnsi="Times New Roman" w:cs="Times New Roman"/>
          <w:sz w:val="24"/>
          <w:szCs w:val="24"/>
        </w:rPr>
      </w:pPr>
    </w:p>
    <w:p>
      <w:pPr>
        <w:spacing w:line="360" w:lineRule="auto"/>
        <w:jc w:val="center"/>
        <w:rPr>
          <w:rFonts w:ascii="Times New Roman" w:hAnsi="Times New Roman" w:cs="Times New Roman"/>
          <w:sz w:val="24"/>
          <w:szCs w:val="24"/>
        </w:rPr>
      </w:pPr>
    </w:p>
    <w:p>
      <w:pPr>
        <w:spacing w:line="360" w:lineRule="auto"/>
        <w:jc w:val="center"/>
        <w:rPr>
          <w:rFonts w:ascii="Times New Roman" w:hAnsi="Times New Roman" w:cs="Times New Roman"/>
          <w:sz w:val="24"/>
          <w:szCs w:val="24"/>
        </w:rPr>
      </w:pPr>
      <w:r>
        <w:rPr>
          <w:rFonts w:ascii="Times New Roman" w:hAnsi="Times New Roman" w:cs="Times New Roman"/>
          <w:sz w:val="24"/>
          <w:szCs w:val="24"/>
        </w:rPr>
        <w:t>Module code and title: Dynamic Business Environment MGBAF1DBE</w:t>
      </w:r>
    </w:p>
    <w:p>
      <w:pPr>
        <w:spacing w:line="360" w:lineRule="auto"/>
        <w:jc w:val="center"/>
        <w:rPr>
          <w:rFonts w:ascii="Times New Roman" w:hAnsi="Times New Roman" w:cs="Times New Roman"/>
          <w:sz w:val="24"/>
          <w:szCs w:val="24"/>
        </w:rPr>
      </w:pPr>
      <w:r>
        <w:rPr>
          <w:rFonts w:ascii="Times New Roman" w:hAnsi="Times New Roman" w:cs="Times New Roman"/>
          <w:sz w:val="24"/>
          <w:szCs w:val="24"/>
        </w:rPr>
        <w:t>Module leader: Daniel Appah</w:t>
      </w:r>
    </w:p>
    <w:p>
      <w:pPr>
        <w:spacing w:line="360" w:lineRule="auto"/>
        <w:jc w:val="center"/>
        <w:rPr>
          <w:rFonts w:ascii="Times New Roman" w:hAnsi="Times New Roman" w:cs="Times New Roman"/>
          <w:sz w:val="24"/>
          <w:szCs w:val="24"/>
        </w:rPr>
      </w:pPr>
      <w:r>
        <w:rPr>
          <w:rFonts w:ascii="Times New Roman" w:hAnsi="Times New Roman" w:cs="Times New Roman"/>
          <w:sz w:val="24"/>
          <w:szCs w:val="24"/>
        </w:rPr>
        <w:t>Assignment No. and type: Essay 2000 words</w:t>
      </w:r>
    </w:p>
    <w:p>
      <w:pPr>
        <w:spacing w:line="360" w:lineRule="auto"/>
        <w:jc w:val="center"/>
        <w:rPr>
          <w:rFonts w:ascii="Times New Roman" w:hAnsi="Times New Roman" w:cs="Times New Roman"/>
          <w:sz w:val="24"/>
          <w:szCs w:val="24"/>
        </w:rPr>
      </w:pPr>
      <w:r>
        <w:rPr>
          <w:rFonts w:ascii="Times New Roman" w:hAnsi="Times New Roman" w:cs="Times New Roman"/>
          <w:sz w:val="24"/>
          <w:szCs w:val="24"/>
        </w:rPr>
        <w:t>Assignment 1</w:t>
      </w:r>
    </w:p>
    <w:p>
      <w:pPr>
        <w:spacing w:line="360" w:lineRule="auto"/>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hAnsi="Times New Roman" w:cs="Times New Roman" w:eastAsiaTheme="minorHAnsi"/>
          <w:b/>
          <w:bCs/>
          <w:color w:val="auto"/>
          <w:sz w:val="24"/>
          <w:szCs w:val="24"/>
        </w:rPr>
        <w:id w:val="-58556923"/>
        <w:docPartObj>
          <w:docPartGallery w:val="Table of Contents"/>
          <w:docPartUnique/>
        </w:docPartObj>
      </w:sdtPr>
      <w:sdtEndPr>
        <w:rPr>
          <w:rFonts w:ascii="Times New Roman" w:hAnsi="Times New Roman" w:cs="Times New Roman" w:eastAsiaTheme="minorHAnsi"/>
          <w:b/>
          <w:bCs/>
          <w:color w:val="auto"/>
          <w:sz w:val="24"/>
          <w:szCs w:val="24"/>
        </w:rPr>
      </w:sdtEndPr>
      <w:sdtContent>
        <w:p>
          <w:pPr>
            <w:pStyle w:val="19"/>
            <w:spacing w:line="36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Table of Contents</w:t>
          </w:r>
        </w:p>
        <w:p>
          <w:pPr>
            <w:pStyle w:val="11"/>
            <w:tabs>
              <w:tab w:val="right" w:leader="dot" w:pos="9350"/>
            </w:tabs>
            <w:rPr>
              <w:rFonts w:eastAsiaTheme="minorEastAsia"/>
              <w:kern w:val="2"/>
              <w14:ligatures w14:val="standardContextual"/>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r>
            <w:fldChar w:fldCharType="begin"/>
          </w:r>
          <w:r>
            <w:instrText xml:space="preserve"> HYPERLINK \l "_Toc158808521" </w:instrText>
          </w:r>
          <w:r>
            <w:fldChar w:fldCharType="separate"/>
          </w:r>
          <w:r>
            <w:rPr>
              <w:rStyle w:val="9"/>
              <w:rFonts w:ascii="Times New Roman" w:hAnsi="Times New Roman" w:cs="Times New Roman"/>
              <w:b/>
              <w:bCs/>
            </w:rPr>
            <w:t>Introduction</w:t>
          </w:r>
          <w:r>
            <w:tab/>
          </w:r>
          <w:r>
            <w:fldChar w:fldCharType="begin"/>
          </w:r>
          <w:r>
            <w:instrText xml:space="preserve"> PAGEREF _Toc158808521 \h </w:instrText>
          </w:r>
          <w:r>
            <w:fldChar w:fldCharType="separate"/>
          </w:r>
          <w:r>
            <w:t>3</w:t>
          </w:r>
          <w:r>
            <w:fldChar w:fldCharType="end"/>
          </w:r>
          <w:r>
            <w:fldChar w:fldCharType="end"/>
          </w:r>
        </w:p>
        <w:p>
          <w:pPr>
            <w:pStyle w:val="11"/>
            <w:tabs>
              <w:tab w:val="right" w:leader="dot" w:pos="9350"/>
            </w:tabs>
            <w:rPr>
              <w:rFonts w:eastAsiaTheme="minorEastAsia"/>
              <w:kern w:val="2"/>
              <w14:ligatures w14:val="standardContextual"/>
            </w:rPr>
          </w:pPr>
          <w:r>
            <w:fldChar w:fldCharType="begin"/>
          </w:r>
          <w:r>
            <w:instrText xml:space="preserve"> HYPERLINK \l "_Toc158808522" </w:instrText>
          </w:r>
          <w:r>
            <w:fldChar w:fldCharType="separate"/>
          </w:r>
          <w:r>
            <w:rPr>
              <w:rStyle w:val="9"/>
              <w:rFonts w:ascii="Times New Roman" w:hAnsi="Times New Roman" w:cs="Times New Roman"/>
              <w:b/>
              <w:bCs/>
            </w:rPr>
            <w:t>Discussing Management Theories</w:t>
          </w:r>
          <w:r>
            <w:tab/>
          </w:r>
          <w:r>
            <w:fldChar w:fldCharType="begin"/>
          </w:r>
          <w:r>
            <w:instrText xml:space="preserve"> PAGEREF _Toc158808522 \h </w:instrText>
          </w:r>
          <w:r>
            <w:fldChar w:fldCharType="separate"/>
          </w:r>
          <w:r>
            <w:t>3</w:t>
          </w:r>
          <w:r>
            <w:fldChar w:fldCharType="end"/>
          </w:r>
          <w:r>
            <w:fldChar w:fldCharType="end"/>
          </w:r>
        </w:p>
        <w:p>
          <w:pPr>
            <w:pStyle w:val="12"/>
            <w:tabs>
              <w:tab w:val="left" w:pos="660"/>
              <w:tab w:val="right" w:leader="dot" w:pos="9350"/>
            </w:tabs>
            <w:rPr>
              <w:rFonts w:eastAsiaTheme="minorEastAsia"/>
              <w:kern w:val="2"/>
              <w14:ligatures w14:val="standardContextual"/>
            </w:rPr>
          </w:pPr>
          <w:r>
            <w:fldChar w:fldCharType="begin"/>
          </w:r>
          <w:r>
            <w:instrText xml:space="preserve"> HYPERLINK \l "_Toc158808523" </w:instrText>
          </w:r>
          <w:r>
            <w:fldChar w:fldCharType="separate"/>
          </w:r>
          <w:r>
            <w:rPr>
              <w:rStyle w:val="9"/>
              <w:rFonts w:ascii="Times New Roman" w:hAnsi="Times New Roman" w:cs="Times New Roman"/>
              <w:i/>
              <w:iCs/>
            </w:rPr>
            <w:t>1.</w:t>
          </w:r>
          <w:r>
            <w:rPr>
              <w:rFonts w:eastAsiaTheme="minorEastAsia"/>
              <w:kern w:val="2"/>
              <w14:ligatures w14:val="standardContextual"/>
            </w:rPr>
            <w:tab/>
          </w:r>
          <w:r>
            <w:rPr>
              <w:rStyle w:val="9"/>
              <w:rFonts w:ascii="Times New Roman" w:hAnsi="Times New Roman" w:cs="Times New Roman"/>
              <w:i/>
              <w:iCs/>
            </w:rPr>
            <w:t>Scientific Management:</w:t>
          </w:r>
          <w:r>
            <w:tab/>
          </w:r>
          <w:r>
            <w:fldChar w:fldCharType="begin"/>
          </w:r>
          <w:r>
            <w:instrText xml:space="preserve"> PAGEREF _Toc158808523 \h </w:instrText>
          </w:r>
          <w:r>
            <w:fldChar w:fldCharType="separate"/>
          </w:r>
          <w:r>
            <w:t>3</w:t>
          </w:r>
          <w:r>
            <w:fldChar w:fldCharType="end"/>
          </w:r>
          <w:r>
            <w:fldChar w:fldCharType="end"/>
          </w:r>
        </w:p>
        <w:p>
          <w:pPr>
            <w:pStyle w:val="12"/>
            <w:tabs>
              <w:tab w:val="left" w:pos="660"/>
              <w:tab w:val="right" w:leader="dot" w:pos="9350"/>
            </w:tabs>
            <w:rPr>
              <w:rFonts w:eastAsiaTheme="minorEastAsia"/>
              <w:kern w:val="2"/>
              <w14:ligatures w14:val="standardContextual"/>
            </w:rPr>
          </w:pPr>
          <w:r>
            <w:fldChar w:fldCharType="begin"/>
          </w:r>
          <w:r>
            <w:instrText xml:space="preserve"> HYPERLINK \l "_Toc158808524" </w:instrText>
          </w:r>
          <w:r>
            <w:fldChar w:fldCharType="separate"/>
          </w:r>
          <w:r>
            <w:rPr>
              <w:rStyle w:val="9"/>
              <w:rFonts w:ascii="Times New Roman" w:hAnsi="Times New Roman" w:cs="Times New Roman"/>
              <w:i/>
              <w:iCs/>
            </w:rPr>
            <w:t>2.</w:t>
          </w:r>
          <w:r>
            <w:rPr>
              <w:rFonts w:eastAsiaTheme="minorEastAsia"/>
              <w:kern w:val="2"/>
              <w14:ligatures w14:val="standardContextual"/>
            </w:rPr>
            <w:tab/>
          </w:r>
          <w:r>
            <w:rPr>
              <w:rStyle w:val="9"/>
              <w:rFonts w:ascii="Times New Roman" w:hAnsi="Times New Roman" w:cs="Times New Roman"/>
              <w:i/>
              <w:iCs/>
            </w:rPr>
            <w:t>Contingency Theory:</w:t>
          </w:r>
          <w:r>
            <w:tab/>
          </w:r>
          <w:r>
            <w:fldChar w:fldCharType="begin"/>
          </w:r>
          <w:r>
            <w:instrText xml:space="preserve"> PAGEREF _Toc158808524 \h </w:instrText>
          </w:r>
          <w:r>
            <w:fldChar w:fldCharType="separate"/>
          </w:r>
          <w:r>
            <w:t>4</w:t>
          </w:r>
          <w:r>
            <w:fldChar w:fldCharType="end"/>
          </w:r>
          <w:r>
            <w:fldChar w:fldCharType="end"/>
          </w:r>
        </w:p>
        <w:p>
          <w:pPr>
            <w:pStyle w:val="11"/>
            <w:tabs>
              <w:tab w:val="right" w:leader="dot" w:pos="9350"/>
            </w:tabs>
            <w:rPr>
              <w:rFonts w:eastAsiaTheme="minorEastAsia"/>
              <w:kern w:val="2"/>
              <w14:ligatures w14:val="standardContextual"/>
            </w:rPr>
          </w:pPr>
          <w:r>
            <w:fldChar w:fldCharType="begin"/>
          </w:r>
          <w:r>
            <w:instrText xml:space="preserve"> HYPERLINK \l "_Toc158808525" </w:instrText>
          </w:r>
          <w:r>
            <w:fldChar w:fldCharType="separate"/>
          </w:r>
          <w:r>
            <w:rPr>
              <w:rStyle w:val="9"/>
              <w:rFonts w:ascii="Times New Roman" w:hAnsi="Times New Roman" w:cs="Times New Roman"/>
              <w:b/>
              <w:bCs/>
            </w:rPr>
            <w:t>Supporting with Examples</w:t>
          </w:r>
          <w:r>
            <w:tab/>
          </w:r>
          <w:r>
            <w:fldChar w:fldCharType="begin"/>
          </w:r>
          <w:r>
            <w:instrText xml:space="preserve"> PAGEREF _Toc158808525 \h </w:instrText>
          </w:r>
          <w:r>
            <w:fldChar w:fldCharType="separate"/>
          </w:r>
          <w:r>
            <w:t>5</w:t>
          </w:r>
          <w:r>
            <w:fldChar w:fldCharType="end"/>
          </w:r>
          <w:r>
            <w:fldChar w:fldCharType="end"/>
          </w:r>
        </w:p>
        <w:p>
          <w:pPr>
            <w:pStyle w:val="11"/>
            <w:tabs>
              <w:tab w:val="right" w:leader="dot" w:pos="9350"/>
            </w:tabs>
            <w:rPr>
              <w:rFonts w:eastAsiaTheme="minorEastAsia"/>
              <w:kern w:val="2"/>
              <w14:ligatures w14:val="standardContextual"/>
            </w:rPr>
          </w:pPr>
          <w:r>
            <w:fldChar w:fldCharType="begin"/>
          </w:r>
          <w:r>
            <w:instrText xml:space="preserve"> HYPERLINK \l "_Toc158808526" </w:instrText>
          </w:r>
          <w:r>
            <w:fldChar w:fldCharType="separate"/>
          </w:r>
          <w:r>
            <w:rPr>
              <w:rStyle w:val="9"/>
              <w:rFonts w:asciiTheme="majorBidi" w:hAnsiTheme="majorBidi"/>
              <w:b/>
              <w:bCs/>
            </w:rPr>
            <w:t>Analyzing Internal and External Factors</w:t>
          </w:r>
          <w:r>
            <w:tab/>
          </w:r>
          <w:r>
            <w:fldChar w:fldCharType="begin"/>
          </w:r>
          <w:r>
            <w:instrText xml:space="preserve"> PAGEREF _Toc158808526 \h </w:instrText>
          </w:r>
          <w:r>
            <w:fldChar w:fldCharType="separate"/>
          </w:r>
          <w:r>
            <w:t>6</w:t>
          </w:r>
          <w:r>
            <w:fldChar w:fldCharType="end"/>
          </w:r>
          <w:r>
            <w:fldChar w:fldCharType="end"/>
          </w:r>
        </w:p>
        <w:p>
          <w:pPr>
            <w:pStyle w:val="12"/>
            <w:tabs>
              <w:tab w:val="right" w:leader="dot" w:pos="9350"/>
            </w:tabs>
            <w:rPr>
              <w:rFonts w:eastAsiaTheme="minorEastAsia"/>
              <w:kern w:val="2"/>
              <w14:ligatures w14:val="standardContextual"/>
            </w:rPr>
          </w:pPr>
          <w:r>
            <w:fldChar w:fldCharType="begin"/>
          </w:r>
          <w:r>
            <w:instrText xml:space="preserve"> HYPERLINK \l "_Toc158808527" </w:instrText>
          </w:r>
          <w:r>
            <w:fldChar w:fldCharType="separate"/>
          </w:r>
          <w:r>
            <w:rPr>
              <w:rStyle w:val="9"/>
              <w:rFonts w:asciiTheme="majorBidi" w:hAnsiTheme="majorBidi"/>
              <w:i/>
              <w:iCs/>
            </w:rPr>
            <w:t>Internal Factors</w:t>
          </w:r>
          <w:r>
            <w:tab/>
          </w:r>
          <w:r>
            <w:fldChar w:fldCharType="begin"/>
          </w:r>
          <w:r>
            <w:instrText xml:space="preserve"> PAGEREF _Toc158808527 \h </w:instrText>
          </w:r>
          <w:r>
            <w:fldChar w:fldCharType="separate"/>
          </w:r>
          <w:r>
            <w:t>6</w:t>
          </w:r>
          <w:r>
            <w:fldChar w:fldCharType="end"/>
          </w:r>
          <w:r>
            <w:fldChar w:fldCharType="end"/>
          </w:r>
        </w:p>
        <w:p>
          <w:pPr>
            <w:pStyle w:val="13"/>
            <w:tabs>
              <w:tab w:val="left" w:pos="880"/>
              <w:tab w:val="right" w:leader="dot" w:pos="9350"/>
            </w:tabs>
          </w:pPr>
          <w:r>
            <w:fldChar w:fldCharType="begin"/>
          </w:r>
          <w:r>
            <w:instrText xml:space="preserve"> HYPERLINK \l "_Toc158808528" </w:instrText>
          </w:r>
          <w:r>
            <w:fldChar w:fldCharType="separate"/>
          </w:r>
          <w:r>
            <w:rPr>
              <w:rStyle w:val="9"/>
              <w:rFonts w:asciiTheme="majorBidi" w:hAnsiTheme="majorBidi"/>
            </w:rPr>
            <w:t>1.</w:t>
          </w:r>
          <w:r>
            <w:tab/>
          </w:r>
          <w:r>
            <w:rPr>
              <w:rStyle w:val="9"/>
              <w:rFonts w:asciiTheme="majorBidi" w:hAnsiTheme="majorBidi"/>
            </w:rPr>
            <w:t>Organizational Culture</w:t>
          </w:r>
          <w:r>
            <w:tab/>
          </w:r>
          <w:r>
            <w:fldChar w:fldCharType="begin"/>
          </w:r>
          <w:r>
            <w:instrText xml:space="preserve"> PAGEREF _Toc158808528 \h </w:instrText>
          </w:r>
          <w:r>
            <w:fldChar w:fldCharType="separate"/>
          </w:r>
          <w:r>
            <w:t>6</w:t>
          </w:r>
          <w:r>
            <w:fldChar w:fldCharType="end"/>
          </w:r>
          <w:r>
            <w:fldChar w:fldCharType="end"/>
          </w:r>
        </w:p>
        <w:p>
          <w:pPr>
            <w:pStyle w:val="13"/>
            <w:tabs>
              <w:tab w:val="left" w:pos="880"/>
              <w:tab w:val="right" w:leader="dot" w:pos="9350"/>
            </w:tabs>
          </w:pPr>
          <w:r>
            <w:fldChar w:fldCharType="begin"/>
          </w:r>
          <w:r>
            <w:instrText xml:space="preserve"> HYPERLINK \l "_Toc158808529" </w:instrText>
          </w:r>
          <w:r>
            <w:fldChar w:fldCharType="separate"/>
          </w:r>
          <w:r>
            <w:rPr>
              <w:rStyle w:val="9"/>
              <w:rFonts w:asciiTheme="majorBidi" w:hAnsiTheme="majorBidi"/>
            </w:rPr>
            <w:t>2.</w:t>
          </w:r>
          <w:r>
            <w:tab/>
          </w:r>
          <w:r>
            <w:rPr>
              <w:rStyle w:val="9"/>
              <w:rFonts w:asciiTheme="majorBidi" w:hAnsiTheme="majorBidi"/>
            </w:rPr>
            <w:t>Human Resources</w:t>
          </w:r>
          <w:r>
            <w:tab/>
          </w:r>
          <w:r>
            <w:fldChar w:fldCharType="begin"/>
          </w:r>
          <w:r>
            <w:instrText xml:space="preserve"> PAGEREF _Toc158808529 \h </w:instrText>
          </w:r>
          <w:r>
            <w:fldChar w:fldCharType="separate"/>
          </w:r>
          <w:r>
            <w:t>6</w:t>
          </w:r>
          <w:r>
            <w:fldChar w:fldCharType="end"/>
          </w:r>
          <w:r>
            <w:fldChar w:fldCharType="end"/>
          </w:r>
        </w:p>
        <w:p>
          <w:pPr>
            <w:pStyle w:val="12"/>
            <w:tabs>
              <w:tab w:val="right" w:leader="dot" w:pos="9350"/>
            </w:tabs>
            <w:rPr>
              <w:rFonts w:eastAsiaTheme="minorEastAsia"/>
              <w:kern w:val="2"/>
              <w14:ligatures w14:val="standardContextual"/>
            </w:rPr>
          </w:pPr>
          <w:r>
            <w:fldChar w:fldCharType="begin"/>
          </w:r>
          <w:r>
            <w:instrText xml:space="preserve"> HYPERLINK \l "_Toc158808530" </w:instrText>
          </w:r>
          <w:r>
            <w:fldChar w:fldCharType="separate"/>
          </w:r>
          <w:r>
            <w:rPr>
              <w:rStyle w:val="9"/>
              <w:rFonts w:asciiTheme="majorBidi" w:hAnsiTheme="majorBidi"/>
              <w:i/>
              <w:iCs/>
            </w:rPr>
            <w:t>External Factors</w:t>
          </w:r>
          <w:r>
            <w:tab/>
          </w:r>
          <w:r>
            <w:fldChar w:fldCharType="begin"/>
          </w:r>
          <w:r>
            <w:instrText xml:space="preserve"> PAGEREF _Toc158808530 \h </w:instrText>
          </w:r>
          <w:r>
            <w:fldChar w:fldCharType="separate"/>
          </w:r>
          <w:r>
            <w:t>7</w:t>
          </w:r>
          <w:r>
            <w:fldChar w:fldCharType="end"/>
          </w:r>
          <w:r>
            <w:fldChar w:fldCharType="end"/>
          </w:r>
        </w:p>
        <w:p>
          <w:pPr>
            <w:pStyle w:val="13"/>
            <w:tabs>
              <w:tab w:val="left" w:pos="880"/>
              <w:tab w:val="right" w:leader="dot" w:pos="9350"/>
            </w:tabs>
          </w:pPr>
          <w:r>
            <w:fldChar w:fldCharType="begin"/>
          </w:r>
          <w:r>
            <w:instrText xml:space="preserve"> HYPERLINK \l "_Toc158808531" </w:instrText>
          </w:r>
          <w:r>
            <w:fldChar w:fldCharType="separate"/>
          </w:r>
          <w:r>
            <w:rPr>
              <w:rStyle w:val="9"/>
              <w:rFonts w:asciiTheme="majorBidi" w:hAnsiTheme="majorBidi"/>
            </w:rPr>
            <w:t>3.</w:t>
          </w:r>
          <w:r>
            <w:tab/>
          </w:r>
          <w:r>
            <w:rPr>
              <w:rStyle w:val="9"/>
              <w:rFonts w:asciiTheme="majorBidi" w:hAnsiTheme="majorBidi"/>
            </w:rPr>
            <w:t>Regulatory Environment</w:t>
          </w:r>
          <w:r>
            <w:tab/>
          </w:r>
          <w:r>
            <w:fldChar w:fldCharType="begin"/>
          </w:r>
          <w:r>
            <w:instrText xml:space="preserve"> PAGEREF _Toc158808531 \h </w:instrText>
          </w:r>
          <w:r>
            <w:fldChar w:fldCharType="separate"/>
          </w:r>
          <w:r>
            <w:t>7</w:t>
          </w:r>
          <w:r>
            <w:fldChar w:fldCharType="end"/>
          </w:r>
          <w:r>
            <w:fldChar w:fldCharType="end"/>
          </w:r>
        </w:p>
        <w:p>
          <w:pPr>
            <w:pStyle w:val="13"/>
            <w:tabs>
              <w:tab w:val="left" w:pos="880"/>
              <w:tab w:val="right" w:leader="dot" w:pos="9350"/>
            </w:tabs>
          </w:pPr>
          <w:r>
            <w:fldChar w:fldCharType="begin"/>
          </w:r>
          <w:r>
            <w:instrText xml:space="preserve"> HYPERLINK \l "_Toc158808532" </w:instrText>
          </w:r>
          <w:r>
            <w:fldChar w:fldCharType="separate"/>
          </w:r>
          <w:r>
            <w:rPr>
              <w:rStyle w:val="9"/>
              <w:rFonts w:asciiTheme="majorBidi" w:hAnsiTheme="majorBidi"/>
            </w:rPr>
            <w:t>4.</w:t>
          </w:r>
          <w:r>
            <w:tab/>
          </w:r>
          <w:r>
            <w:rPr>
              <w:rStyle w:val="9"/>
              <w:rFonts w:asciiTheme="majorBidi" w:hAnsiTheme="majorBidi"/>
            </w:rPr>
            <w:t>Technological Advancements</w:t>
          </w:r>
          <w:r>
            <w:tab/>
          </w:r>
          <w:r>
            <w:fldChar w:fldCharType="begin"/>
          </w:r>
          <w:r>
            <w:instrText xml:space="preserve"> PAGEREF _Toc158808532 \h </w:instrText>
          </w:r>
          <w:r>
            <w:fldChar w:fldCharType="separate"/>
          </w:r>
          <w:r>
            <w:t>7</w:t>
          </w:r>
          <w:r>
            <w:fldChar w:fldCharType="end"/>
          </w:r>
          <w:r>
            <w:fldChar w:fldCharType="end"/>
          </w:r>
        </w:p>
        <w:p>
          <w:pPr>
            <w:pStyle w:val="11"/>
            <w:tabs>
              <w:tab w:val="right" w:leader="dot" w:pos="9350"/>
            </w:tabs>
            <w:rPr>
              <w:rFonts w:eastAsiaTheme="minorEastAsia"/>
              <w:kern w:val="2"/>
              <w14:ligatures w14:val="standardContextual"/>
            </w:rPr>
          </w:pPr>
          <w:r>
            <w:fldChar w:fldCharType="begin"/>
          </w:r>
          <w:r>
            <w:instrText xml:space="preserve"> HYPERLINK \l "_Toc158808533" </w:instrText>
          </w:r>
          <w:r>
            <w:fldChar w:fldCharType="separate"/>
          </w:r>
          <w:r>
            <w:rPr>
              <w:rStyle w:val="9"/>
              <w:rFonts w:asciiTheme="majorBidi" w:hAnsiTheme="majorBidi"/>
              <w:b/>
              <w:bCs/>
            </w:rPr>
            <w:t>Supporting Factors with Examples</w:t>
          </w:r>
          <w:r>
            <w:tab/>
          </w:r>
          <w:r>
            <w:fldChar w:fldCharType="begin"/>
          </w:r>
          <w:r>
            <w:instrText xml:space="preserve"> PAGEREF _Toc158808533 \h </w:instrText>
          </w:r>
          <w:r>
            <w:fldChar w:fldCharType="separate"/>
          </w:r>
          <w:r>
            <w:t>8</w:t>
          </w:r>
          <w:r>
            <w:fldChar w:fldCharType="end"/>
          </w:r>
          <w:r>
            <w:fldChar w:fldCharType="end"/>
          </w:r>
        </w:p>
        <w:p>
          <w:pPr>
            <w:pStyle w:val="11"/>
            <w:tabs>
              <w:tab w:val="right" w:leader="dot" w:pos="9350"/>
            </w:tabs>
            <w:rPr>
              <w:rFonts w:eastAsiaTheme="minorEastAsia"/>
              <w:kern w:val="2"/>
              <w14:ligatures w14:val="standardContextual"/>
            </w:rPr>
          </w:pPr>
          <w:r>
            <w:fldChar w:fldCharType="begin"/>
          </w:r>
          <w:r>
            <w:instrText xml:space="preserve"> HYPERLINK \l "_Toc158808534" </w:instrText>
          </w:r>
          <w:r>
            <w:fldChar w:fldCharType="separate"/>
          </w:r>
          <w:r>
            <w:rPr>
              <w:rStyle w:val="9"/>
              <w:rFonts w:asciiTheme="majorBidi" w:hAnsiTheme="majorBidi"/>
              <w:b/>
              <w:bCs/>
            </w:rPr>
            <w:t>Conclusion</w:t>
          </w:r>
          <w:r>
            <w:tab/>
          </w:r>
          <w:r>
            <w:fldChar w:fldCharType="begin"/>
          </w:r>
          <w:r>
            <w:instrText xml:space="preserve"> PAGEREF _Toc158808534 \h </w:instrText>
          </w:r>
          <w:r>
            <w:fldChar w:fldCharType="separate"/>
          </w:r>
          <w:r>
            <w:t>8</w:t>
          </w:r>
          <w:r>
            <w:fldChar w:fldCharType="end"/>
          </w:r>
          <w:r>
            <w:fldChar w:fldCharType="end"/>
          </w:r>
        </w:p>
        <w:p>
          <w:pPr>
            <w:pStyle w:val="11"/>
            <w:tabs>
              <w:tab w:val="right" w:leader="dot" w:pos="9350"/>
            </w:tabs>
            <w:rPr>
              <w:rFonts w:eastAsiaTheme="minorEastAsia"/>
              <w:kern w:val="2"/>
              <w14:ligatures w14:val="standardContextual"/>
            </w:rPr>
          </w:pPr>
          <w:r>
            <w:fldChar w:fldCharType="begin"/>
          </w:r>
          <w:r>
            <w:instrText xml:space="preserve"> HYPERLINK \l "_Toc158808535" </w:instrText>
          </w:r>
          <w:r>
            <w:fldChar w:fldCharType="separate"/>
          </w:r>
          <w:r>
            <w:rPr>
              <w:rStyle w:val="9"/>
              <w:rFonts w:ascii="Times New Roman" w:hAnsi="Times New Roman" w:cs="Times New Roman"/>
              <w:b/>
              <w:bCs/>
            </w:rPr>
            <w:t>References</w:t>
          </w:r>
          <w:r>
            <w:tab/>
          </w:r>
          <w:r>
            <w:fldChar w:fldCharType="begin"/>
          </w:r>
          <w:r>
            <w:instrText xml:space="preserve"> PAGEREF _Toc158808535 \h </w:instrText>
          </w:r>
          <w:r>
            <w:fldChar w:fldCharType="separate"/>
          </w:r>
          <w:r>
            <w:t>10</w:t>
          </w:r>
          <w:r>
            <w:fldChar w:fldCharType="end"/>
          </w:r>
          <w:r>
            <w:fldChar w:fldCharType="end"/>
          </w:r>
        </w:p>
        <w:p>
          <w:pPr>
            <w:spacing w:line="360" w:lineRule="auto"/>
            <w:rPr>
              <w:rFonts w:ascii="Times New Roman" w:hAnsi="Times New Roman" w:cs="Times New Roman"/>
              <w:sz w:val="24"/>
              <w:szCs w:val="24"/>
            </w:rPr>
          </w:pPr>
          <w:r>
            <w:rPr>
              <w:rFonts w:ascii="Times New Roman" w:hAnsi="Times New Roman" w:cs="Times New Roman"/>
              <w:b/>
              <w:bCs/>
              <w:sz w:val="24"/>
              <w:szCs w:val="24"/>
            </w:rPr>
            <w:fldChar w:fldCharType="end"/>
          </w:r>
        </w:p>
      </w:sdtContent>
    </w:sdt>
    <w:p>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pPr>
        <w:pStyle w:val="2"/>
        <w:spacing w:line="360" w:lineRule="auto"/>
        <w:jc w:val="center"/>
        <w:rPr>
          <w:rFonts w:ascii="Times New Roman" w:hAnsi="Times New Roman" w:cs="Times New Roman"/>
          <w:b/>
          <w:bCs/>
          <w:color w:val="auto"/>
          <w:sz w:val="24"/>
          <w:szCs w:val="24"/>
        </w:rPr>
      </w:pPr>
      <w:bookmarkStart w:id="0" w:name="_Toc158808521"/>
      <w:r>
        <w:rPr>
          <w:rFonts w:ascii="Times New Roman" w:hAnsi="Times New Roman" w:cs="Times New Roman"/>
          <w:b/>
          <w:bCs/>
          <w:color w:val="auto"/>
          <w:sz w:val="24"/>
          <w:szCs w:val="24"/>
        </w:rPr>
        <w:t>Introduction</w:t>
      </w:r>
      <w:bookmarkEnd w:id="0"/>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The accounting and financial sector is the essence of the world's economy, offering crucial services for enterprises and people to take care of their funds. Organizations in this complicated and ever-changing world depend on effective management methods to overcome obstacles and grab opportunities </w:t>
      </w:r>
      <w:r>
        <w:rPr>
          <w:rFonts w:ascii="Times New Roman" w:hAnsi="Times New Roman" w:cs="Times New Roman"/>
          <w:sz w:val="24"/>
          <w:szCs w:val="24"/>
          <w:shd w:val="clear" w:color="auto" w:fill="FFFFFF"/>
        </w:rPr>
        <w:t>(Catalano, 2024)</w:t>
      </w:r>
      <w:r>
        <w:rPr>
          <w:rFonts w:ascii="Times New Roman" w:hAnsi="Times New Roman" w:cs="Times New Roman"/>
          <w:sz w:val="24"/>
          <w:szCs w:val="24"/>
        </w:rPr>
        <w:t>. For an improved understanding of the operational environment of this industry, it is essential to investigate different management theories that affect patterns in organizational behaviour and decision-making.</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Two widely accepted theories relevant in today's accounting and financial industry are scientific management and contingency theory. Scientific management, first proposed by Frederick Taylor in the early 20th century, pays special attention to the systematic analysis and optimization of work processes for efficiency </w:t>
      </w:r>
      <w:r>
        <w:rPr>
          <w:rFonts w:ascii="Times New Roman" w:hAnsi="Times New Roman" w:cs="Times New Roman"/>
          <w:sz w:val="24"/>
          <w:szCs w:val="24"/>
          <w:shd w:val="clear" w:color="auto" w:fill="FFFFFF"/>
        </w:rPr>
        <w:t>(Lumen Learning, 2024)</w:t>
      </w:r>
      <w:r>
        <w:rPr>
          <w:rFonts w:ascii="Times New Roman" w:hAnsi="Times New Roman" w:cs="Times New Roman"/>
          <w:sz w:val="24"/>
          <w:szCs w:val="24"/>
        </w:rPr>
        <w:t>. Opposed contingency theory admits that management practices must be in tune with different situations/circumstances or contingencies a particular organization faces.</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Analysis of these accounting and financial sector theories allows us to learn how management concepts are applied in real life. Also, we examine the internal and external factors that affect the functional activities of firms in the industry at hand using real-life examples as a guide. This essay aims to provide helpful information on the management practices and forces of the environment that drive the accounting and financial industry using pertinent academic literature and industry sources </w:t>
      </w:r>
      <w:r>
        <w:rPr>
          <w:rFonts w:ascii="Times New Roman" w:hAnsi="Times New Roman" w:cs="Times New Roman"/>
          <w:sz w:val="24"/>
          <w:szCs w:val="24"/>
          <w:shd w:val="clear" w:color="auto" w:fill="FFFFFF"/>
        </w:rPr>
        <w:t>(Baron, 2024)</w:t>
      </w:r>
      <w:r>
        <w:rPr>
          <w:rFonts w:ascii="Times New Roman" w:hAnsi="Times New Roman" w:cs="Times New Roman"/>
          <w:sz w:val="24"/>
          <w:szCs w:val="24"/>
        </w:rPr>
        <w:t>.</w:t>
      </w:r>
    </w:p>
    <w:p>
      <w:pPr>
        <w:pStyle w:val="2"/>
        <w:spacing w:line="360" w:lineRule="auto"/>
        <w:jc w:val="center"/>
        <w:rPr>
          <w:rFonts w:ascii="Times New Roman" w:hAnsi="Times New Roman" w:cs="Times New Roman"/>
          <w:b/>
          <w:bCs/>
          <w:color w:val="auto"/>
          <w:sz w:val="24"/>
          <w:szCs w:val="24"/>
        </w:rPr>
      </w:pPr>
      <w:bookmarkStart w:id="1" w:name="_Toc158808522"/>
      <w:r>
        <w:rPr>
          <w:rFonts w:ascii="Times New Roman" w:hAnsi="Times New Roman" w:cs="Times New Roman"/>
          <w:b/>
          <w:bCs/>
          <w:color w:val="auto"/>
          <w:sz w:val="24"/>
          <w:szCs w:val="24"/>
        </w:rPr>
        <w:t>Discussing Management Theories</w:t>
      </w:r>
      <w:bookmarkEnd w:id="1"/>
    </w:p>
    <w:p>
      <w:pPr>
        <w:pStyle w:val="3"/>
        <w:numPr>
          <w:ilvl w:val="0"/>
          <w:numId w:val="1"/>
        </w:numPr>
        <w:spacing w:line="360" w:lineRule="auto"/>
        <w:rPr>
          <w:rFonts w:ascii="Times New Roman" w:hAnsi="Times New Roman" w:cs="Times New Roman"/>
          <w:i/>
          <w:iCs/>
          <w:color w:val="auto"/>
          <w:sz w:val="24"/>
          <w:szCs w:val="24"/>
        </w:rPr>
      </w:pPr>
      <w:bookmarkStart w:id="2" w:name="_Toc158808523"/>
      <w:r>
        <w:rPr>
          <w:rFonts w:ascii="Times New Roman" w:hAnsi="Times New Roman" w:cs="Times New Roman"/>
          <w:i/>
          <w:iCs/>
          <w:color w:val="auto"/>
          <w:sz w:val="24"/>
          <w:szCs w:val="24"/>
        </w:rPr>
        <w:t>Scientific Management:</w:t>
      </w:r>
      <w:bookmarkEnd w:id="2"/>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Scientific management championed by Frederick Taylor around the early 20th century changed how organizations were being managed by introducing scientific methods of task management. Using scientific principles to analyze and improve work processes, efficiency and productivity are intended to be increased while waste is reduced </w:t>
      </w:r>
      <w:r>
        <w:rPr>
          <w:rFonts w:ascii="Times New Roman" w:hAnsi="Times New Roman" w:cs="Times New Roman"/>
          <w:sz w:val="24"/>
          <w:szCs w:val="24"/>
          <w:shd w:val="clear" w:color="auto" w:fill="FFFFFF"/>
        </w:rPr>
        <w:t>(Villanova University, 2022)</w:t>
      </w:r>
      <w:r>
        <w:rPr>
          <w:rFonts w:ascii="Times New Roman" w:hAnsi="Times New Roman" w:cs="Times New Roman"/>
          <w:sz w:val="24"/>
          <w:szCs w:val="24"/>
        </w:rPr>
        <w:t>. Scientific management principles are widely used in accounting and finance, where exactitude and correctness are paramount.</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The optimization of the workflow is one of the main features of scientific management in the accounting and financial sphere. Companies aim to automate budgeting, auditing and reporting to improve their productivity. For instance, the assessment practice of accounting firms utilizes the time and motion studies developed by Taylor to determine the practical approach in operations such as data processing or reconciliation. Divide tasks into their parts and identify the best ways to perform each part; this enables organizations to increase productivity and minimize mistakes </w:t>
      </w:r>
      <w:r>
        <w:rPr>
          <w:rFonts w:ascii="Times New Roman" w:hAnsi="Times New Roman" w:cs="Times New Roman"/>
          <w:sz w:val="24"/>
          <w:szCs w:val="24"/>
          <w:shd w:val="clear" w:color="auto" w:fill="FFFFFF"/>
        </w:rPr>
        <w:t>(Wrike, 2023)</w:t>
      </w:r>
      <w:r>
        <w:rPr>
          <w:rFonts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Also, scientific management concepts enable the standardization of processes within accounting and financial institutions. Standardization ensures consistency in processes and outcomes, reducing variability and improving predictability. For example, standardized auditing procedures allow auditors to examine financial ledgers systematically for discrepancies or irregularities. Through adherence to existing regulations and directives, enterprises safeguard themselves from compliance risks while upholding the correctness of reporting.</w:t>
      </w:r>
    </w:p>
    <w:p>
      <w:pPr>
        <w:pStyle w:val="3"/>
        <w:numPr>
          <w:ilvl w:val="0"/>
          <w:numId w:val="1"/>
        </w:numPr>
        <w:spacing w:line="360" w:lineRule="auto"/>
        <w:rPr>
          <w:rFonts w:ascii="Times New Roman" w:hAnsi="Times New Roman" w:cs="Times New Roman"/>
          <w:i/>
          <w:iCs/>
          <w:color w:val="auto"/>
          <w:sz w:val="24"/>
          <w:szCs w:val="24"/>
        </w:rPr>
      </w:pPr>
      <w:bookmarkStart w:id="3" w:name="_Toc158808524"/>
      <w:r>
        <w:rPr>
          <w:rFonts w:ascii="Times New Roman" w:hAnsi="Times New Roman" w:cs="Times New Roman"/>
          <w:i/>
          <w:iCs/>
          <w:color w:val="auto"/>
          <w:sz w:val="24"/>
          <w:szCs w:val="24"/>
        </w:rPr>
        <w:t>Contingency Theory:</w:t>
      </w:r>
      <w:bookmarkEnd w:id="3"/>
    </w:p>
    <w:p>
      <w:pPr>
        <w:spacing w:line="360" w:lineRule="auto"/>
        <w:rPr>
          <w:rFonts w:ascii="Times New Roman" w:hAnsi="Times New Roman" w:cs="Times New Roman"/>
          <w:sz w:val="24"/>
          <w:szCs w:val="24"/>
        </w:rPr>
      </w:pPr>
      <w:r>
        <w:rPr>
          <w:rFonts w:ascii="Times New Roman" w:hAnsi="Times New Roman" w:cs="Times New Roman"/>
          <w:sz w:val="24"/>
          <w:szCs w:val="24"/>
        </w:rPr>
        <w:t>In opposition to the authoritarian nature of scientific management, contingency theory accounts for the complex and dynamic nature of organizational environments. Contingency theory, which was developed in the mid-20th century by scholars like Joan Woodward and Paul Lawrence, argues that effective management practices should be contingent upon the unique situations (contingencies) faced by an organizational entity (and organization (</w:t>
      </w:r>
      <w:r>
        <w:rPr>
          <w:rFonts w:ascii="Times New Roman" w:hAnsi="Times New Roman" w:cs="Times New Roman"/>
          <w:sz w:val="24"/>
          <w:szCs w:val="24"/>
          <w:shd w:val="clear" w:color="auto" w:fill="FFFFFF"/>
        </w:rPr>
        <w:t>Sujan, 2023)</w:t>
      </w:r>
      <w:r>
        <w:rPr>
          <w:rFonts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the accounting and finance sector, as the industry is prone to external factors such as unstable markets, volatile regulatory changes and technological advancements, contingency theory lends a practical approach to managing strategic decisions </w:t>
      </w:r>
      <w:r>
        <w:rPr>
          <w:rFonts w:ascii="Times New Roman" w:hAnsi="Times New Roman" w:cs="Times New Roman"/>
          <w:sz w:val="24"/>
          <w:szCs w:val="24"/>
          <w:shd w:val="clear" w:color="auto" w:fill="FFFFFF"/>
        </w:rPr>
        <w:t>(Kaplan and Mikes, 2014)</w:t>
      </w:r>
      <w:r>
        <w:rPr>
          <w:rFonts w:ascii="Times New Roman" w:hAnsi="Times New Roman" w:cs="Times New Roman"/>
          <w:sz w:val="24"/>
          <w:szCs w:val="24"/>
        </w:rPr>
        <w:t>. Managers' framework will change in correlation to the particular context of operating one's organization</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To demonstrate, financial institutions' risks and uncertainties increase during periods of economic uncertainty. Consequently, managers can modify risk management plans to prevent potential losses and protect the business's economic well-being. The adaptive approach illustrates contingency theory that justifies management practices as contingent upon the current environmental conditions </w:t>
      </w:r>
      <w:r>
        <w:rPr>
          <w:rFonts w:ascii="Times New Roman" w:hAnsi="Times New Roman" w:cs="Times New Roman"/>
          <w:sz w:val="24"/>
          <w:szCs w:val="24"/>
          <w:shd w:val="clear" w:color="auto" w:fill="FFFFFF"/>
        </w:rPr>
        <w:t>(Daouk, 2024)</w:t>
      </w:r>
      <w:r>
        <w:rPr>
          <w:rFonts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In addition, technological developments have remodelled the accounting and financing business, presenting new opportunities and obstacles </w:t>
      </w:r>
      <w:r>
        <w:rPr>
          <w:rFonts w:ascii="Times New Roman" w:hAnsi="Times New Roman" w:cs="Times New Roman"/>
          <w:sz w:val="24"/>
          <w:szCs w:val="24"/>
          <w:shd w:val="clear" w:color="auto" w:fill="FFFFFF"/>
        </w:rPr>
        <w:t>(Clegg et al., 2019)</w:t>
      </w:r>
      <w:r>
        <w:rPr>
          <w:rFonts w:ascii="Times New Roman" w:hAnsi="Times New Roman" w:cs="Times New Roman"/>
          <w:sz w:val="24"/>
          <w:szCs w:val="24"/>
        </w:rPr>
        <w:t>. Organizations must implement innovations and adopt emerging technologies to compete in the digital era.</w:t>
      </w:r>
      <w:r>
        <w:t xml:space="preserve"> </w:t>
      </w:r>
      <w:r>
        <w:rPr>
          <w:rFonts w:ascii="Times New Roman" w:hAnsi="Times New Roman" w:cs="Times New Roman"/>
          <w:sz w:val="24"/>
          <w:szCs w:val="24"/>
        </w:rPr>
        <w:t>According to contingency theory, companies will answer disruptions caused by new technologies by using the most suitable and flexible practices without excluding the adaptation of their work towards the uses of new technologies for getting the available luck for selecting new technologies sensitive to risks. The issues of scientific advisory and contingency theory, as they concern accounting and the financial sector, are complementary. While scientific management concepts are about work efficiency and procedure standardization, contingency theory groups centre flexibility and adaptability as actions to adjust to the fluidity of the market.</w:t>
      </w:r>
    </w:p>
    <w:p>
      <w:pPr>
        <w:pStyle w:val="2"/>
        <w:spacing w:line="360" w:lineRule="auto"/>
        <w:jc w:val="center"/>
        <w:rPr>
          <w:rFonts w:ascii="Times New Roman" w:hAnsi="Times New Roman" w:cs="Times New Roman"/>
          <w:b/>
          <w:bCs/>
          <w:color w:val="auto"/>
          <w:sz w:val="24"/>
          <w:szCs w:val="24"/>
        </w:rPr>
      </w:pPr>
      <w:bookmarkStart w:id="4" w:name="_Toc158808525"/>
      <w:r>
        <w:rPr>
          <w:rFonts w:ascii="Times New Roman" w:hAnsi="Times New Roman" w:cs="Times New Roman"/>
          <w:b/>
          <w:bCs/>
          <w:color w:val="auto"/>
          <w:sz w:val="24"/>
          <w:szCs w:val="24"/>
        </w:rPr>
        <w:t>Supporting with Examples</w:t>
      </w:r>
      <w:bookmarkEnd w:id="4"/>
    </w:p>
    <w:p>
      <w:pPr>
        <w:spacing w:line="360" w:lineRule="auto"/>
        <w:rPr>
          <w:rFonts w:ascii="Times New Roman" w:hAnsi="Times New Roman" w:cs="Times New Roman"/>
          <w:sz w:val="24"/>
          <w:szCs w:val="24"/>
        </w:rPr>
      </w:pPr>
      <w:r>
        <w:rPr>
          <w:rFonts w:ascii="Times New Roman" w:hAnsi="Times New Roman" w:cs="Times New Roman"/>
          <w:sz w:val="24"/>
          <w:szCs w:val="24"/>
        </w:rPr>
        <w:t>Using two real-world examples, the analyst would demonstrate the practical implications of scientific management and contingency theory in accounting and finance. They are as follows:</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First, Ernst &amp; Young (EY), a top accounting organization globally, employs scientific management practices during its auditing processes. EY places great importance on standardizing audit methodologies across its worldwide network of offices, thereby achieving uniformity and reliability in financial reporting. Leveraging advanced technology like data analytics and artificial intelligence, EY improves the efficiency and accuracy of its audit processes. One example is that EY applied automated data extraction tools to speed up the process of auditing large amounts of financial data and detect possible risks or irregularities. These frameworks ensure the auditing quality and render due to the required regulatory measures dictated by both SEC and FASB accounting standards </w:t>
      </w:r>
      <w:r>
        <w:rPr>
          <w:rFonts w:ascii="Times New Roman" w:hAnsi="Times New Roman" w:cs="Times New Roman"/>
          <w:sz w:val="24"/>
          <w:szCs w:val="24"/>
          <w:shd w:val="clear" w:color="auto" w:fill="FFFFFF"/>
        </w:rPr>
        <w:t>(EY Kosovo, 2022)</w:t>
      </w:r>
      <w:r>
        <w:rPr>
          <w:rFonts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Additionally, Goldman Sachs, an internationally known investment banking company, is an illustration of contingency theory in its strategic choice. With the market fluctuations and volatility, Goldman Sachs deploys a flexible risk management and portfolio optimization approach. As an illustration, in times of economic recession or geopolitical uncertainty, Goldman Sachs may rebalance its investment portfolio by decreasing the exposure to risky assets and diversifying its holdings. Also, Goldman Sachs follows the macroeconomic indicators and geopolitical events to preempt market trends and diminish the risks. To match its investment strategies with the market conditions, Goldman Sachs can quell risks and sustain shareholder value as it continuously gains investor support while still prevailing in long-term profitability </w:t>
      </w:r>
      <w:r>
        <w:rPr>
          <w:rFonts w:ascii="Times New Roman" w:hAnsi="Times New Roman" w:cs="Times New Roman"/>
          <w:sz w:val="24"/>
          <w:szCs w:val="24"/>
          <w:shd w:val="clear" w:color="auto" w:fill="FFFFFF"/>
        </w:rPr>
        <w:t>(Franklin, 2015)</w:t>
      </w:r>
      <w:r>
        <w:rPr>
          <w:rFonts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Illustrations show how management theory is used by account and finance organizations to improve their operations and strategy. Firms like EY and Goldman Sachs exemplify how scientific management principles and contingency theory can be successfully applied in practice, where these organizations optimize flexibility against dynamically changing market conditions and manage growth via sustainable strategies amidst fierce competition.</w:t>
      </w:r>
    </w:p>
    <w:p>
      <w:pPr>
        <w:pStyle w:val="2"/>
        <w:spacing w:line="360" w:lineRule="auto"/>
        <w:jc w:val="center"/>
        <w:rPr>
          <w:rFonts w:asciiTheme="majorBidi" w:hAnsiTheme="majorBidi"/>
          <w:b/>
          <w:bCs/>
          <w:color w:val="auto"/>
          <w:sz w:val="24"/>
          <w:szCs w:val="24"/>
        </w:rPr>
      </w:pPr>
      <w:bookmarkStart w:id="5" w:name="_Toc158808526"/>
      <w:r>
        <w:rPr>
          <w:rFonts w:asciiTheme="majorBidi" w:hAnsiTheme="majorBidi"/>
          <w:b/>
          <w:bCs/>
          <w:color w:val="auto"/>
          <w:sz w:val="24"/>
          <w:szCs w:val="24"/>
        </w:rPr>
        <w:t>Analyzing Internal and External Factors</w:t>
      </w:r>
      <w:bookmarkEnd w:id="5"/>
    </w:p>
    <w:p>
      <w:pPr>
        <w:pStyle w:val="3"/>
        <w:spacing w:line="360" w:lineRule="auto"/>
        <w:rPr>
          <w:rFonts w:asciiTheme="majorBidi" w:hAnsiTheme="majorBidi"/>
          <w:i/>
          <w:iCs/>
          <w:color w:val="auto"/>
          <w:sz w:val="24"/>
          <w:szCs w:val="24"/>
        </w:rPr>
      </w:pPr>
      <w:bookmarkStart w:id="6" w:name="_Toc158808527"/>
      <w:r>
        <w:rPr>
          <w:rFonts w:asciiTheme="majorBidi" w:hAnsiTheme="majorBidi"/>
          <w:i/>
          <w:iCs/>
          <w:color w:val="auto"/>
          <w:sz w:val="24"/>
          <w:szCs w:val="24"/>
        </w:rPr>
        <w:t>Internal Factors</w:t>
      </w:r>
      <w:bookmarkEnd w:id="6"/>
    </w:p>
    <w:p>
      <w:pPr>
        <w:pStyle w:val="4"/>
        <w:numPr>
          <w:ilvl w:val="0"/>
          <w:numId w:val="2"/>
        </w:numPr>
        <w:spacing w:line="360" w:lineRule="auto"/>
        <w:rPr>
          <w:rFonts w:asciiTheme="majorBidi" w:hAnsiTheme="majorBidi"/>
          <w:color w:val="auto"/>
        </w:rPr>
      </w:pPr>
      <w:bookmarkStart w:id="7" w:name="_Toc158808528"/>
      <w:r>
        <w:rPr>
          <w:rFonts w:asciiTheme="majorBidi" w:hAnsiTheme="majorBidi"/>
          <w:color w:val="auto"/>
        </w:rPr>
        <w:t>Organizational Culture</w:t>
      </w:r>
      <w:bookmarkEnd w:id="7"/>
    </w:p>
    <w:p>
      <w:pPr>
        <w:spacing w:line="360" w:lineRule="auto"/>
        <w:rPr>
          <w:rFonts w:asciiTheme="majorBidi" w:hAnsiTheme="majorBidi" w:cstheme="majorBidi"/>
          <w:sz w:val="24"/>
          <w:szCs w:val="24"/>
        </w:rPr>
      </w:pPr>
      <w:r>
        <w:rPr>
          <w:rFonts w:asciiTheme="majorBidi" w:hAnsiTheme="majorBidi" w:cstheme="majorBidi"/>
          <w:sz w:val="24"/>
          <w:szCs w:val="24"/>
        </w:rPr>
        <w:t xml:space="preserve">An accounting and financial culture has a keystone place in the employees' behavioural formation and the decision-making process at this kind of institution. A culture built on these values much favoured by colleagues, i.e. transparency, honesty, and ethical behaviour, encourages stakeholders' loyalty and hence brings up the company's performance </w:t>
      </w:r>
      <w:r>
        <w:rPr>
          <w:rFonts w:asciiTheme="majorBidi" w:hAnsiTheme="majorBidi" w:cstheme="majorBidi"/>
          <w:sz w:val="24"/>
          <w:szCs w:val="24"/>
          <w:shd w:val="clear" w:color="auto" w:fill="FFFFFF"/>
        </w:rPr>
        <w:t>(Sayyed, 2024)</w:t>
      </w:r>
      <w:r>
        <w:rPr>
          <w:rFonts w:asciiTheme="majorBidi" w:hAnsiTheme="majorBidi" w:cstheme="majorBidi"/>
          <w:sz w:val="24"/>
          <w:szCs w:val="24"/>
        </w:rPr>
        <w:t xml:space="preserve">. Disclosure of the exploitation by these companies has forced them to assume a more ethical and refined behavioural code towards improving customer confidence and attracting highly qualified people to their companies. </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Unfortunately, a culture with so many bad elements as false practices, such as fraudulent activities or conflicts of interest, may cause internal problems and damage the organisation's or society's reputation. One of the most dramatic precedents for organizational deterioration that can be named is the Enron accounting scandal, the tragic consequences of which caused the process of the corporate culture to become toxic </w:t>
      </w:r>
      <w:r>
        <w:rPr>
          <w:rFonts w:asciiTheme="majorBidi" w:hAnsiTheme="majorBidi" w:cstheme="majorBidi"/>
          <w:sz w:val="24"/>
          <w:szCs w:val="24"/>
          <w:shd w:val="clear" w:color="auto" w:fill="FFFFFF"/>
        </w:rPr>
        <w:t>for internal mechanisms and external stakeholders (Martin, 2024)</w:t>
      </w:r>
      <w:r>
        <w:rPr>
          <w:rFonts w:asciiTheme="majorBidi" w:hAnsiTheme="majorBidi" w:cstheme="majorBidi"/>
          <w:sz w:val="24"/>
          <w:szCs w:val="24"/>
        </w:rPr>
        <w:t>.</w:t>
      </w:r>
    </w:p>
    <w:p>
      <w:pPr>
        <w:pStyle w:val="4"/>
        <w:numPr>
          <w:ilvl w:val="0"/>
          <w:numId w:val="2"/>
        </w:numPr>
        <w:spacing w:line="360" w:lineRule="auto"/>
        <w:rPr>
          <w:rFonts w:asciiTheme="majorBidi" w:hAnsiTheme="majorBidi"/>
          <w:color w:val="auto"/>
        </w:rPr>
      </w:pPr>
      <w:bookmarkStart w:id="8" w:name="_Toc158808529"/>
      <w:r>
        <w:rPr>
          <w:rFonts w:asciiTheme="majorBidi" w:hAnsiTheme="majorBidi"/>
          <w:color w:val="auto"/>
        </w:rPr>
        <w:t>Human Resources</w:t>
      </w:r>
      <w:bookmarkEnd w:id="8"/>
    </w:p>
    <w:p>
      <w:pPr>
        <w:spacing w:line="360" w:lineRule="auto"/>
        <w:rPr>
          <w:rFonts w:asciiTheme="majorBidi" w:hAnsiTheme="majorBidi" w:cstheme="majorBidi"/>
          <w:sz w:val="24"/>
          <w:szCs w:val="24"/>
        </w:rPr>
      </w:pPr>
      <w:r>
        <w:rPr>
          <w:rFonts w:asciiTheme="majorBidi" w:hAnsiTheme="majorBidi" w:cstheme="majorBidi"/>
          <w:sz w:val="24"/>
          <w:szCs w:val="24"/>
        </w:rPr>
        <w:t xml:space="preserve">Having abundant skilled workers is critical to maintaining the highest standards of quality and service in the accounting and financial sectors. The move toward a factor or knowledge-based economy involving investment in employee training and development programs, recruitment strategies and retention initiatives directly affects the capabilities and competitiveness of organizations operating in this sector. Such training by reputable companies such as Deloitte provides unique training programs and mentorship opportunities to groom talents and develop individuals in skills enhancement </w:t>
      </w:r>
      <w:r>
        <w:rPr>
          <w:rFonts w:asciiTheme="majorBidi" w:hAnsiTheme="majorBidi" w:cstheme="majorBidi"/>
          <w:sz w:val="24"/>
          <w:szCs w:val="24"/>
          <w:shd w:val="clear" w:color="auto" w:fill="FFFFFF"/>
        </w:rPr>
        <w:t>(Deloitte, 2016)</w:t>
      </w:r>
      <w:r>
        <w:rPr>
          <w:rFonts w:asciiTheme="majorBidi" w:hAnsiTheme="majorBidi" w:cstheme="majorBidi"/>
          <w:sz w:val="24"/>
          <w:szCs w:val="24"/>
        </w:rPr>
        <w:t xml:space="preserve">. </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Notably, the use of successful candidate recruitment methods, including campus recruitment drives and partnerships with educational institutions, makes it possible for a company to select only the best graduates and experienced professionals and expand team member training and development programs, which, in turn, improves the quality of the working force </w:t>
      </w:r>
      <w:r>
        <w:rPr>
          <w:rFonts w:asciiTheme="majorBidi" w:hAnsiTheme="majorBidi" w:cstheme="majorBidi"/>
          <w:sz w:val="24"/>
          <w:szCs w:val="24"/>
          <w:shd w:val="clear" w:color="auto" w:fill="FFFFFF"/>
        </w:rPr>
        <w:t>(Reiners, 2021)</w:t>
      </w:r>
      <w:r>
        <w:rPr>
          <w:rFonts w:asciiTheme="majorBidi" w:hAnsiTheme="majorBidi" w:cstheme="majorBidi"/>
          <w:sz w:val="24"/>
          <w:szCs w:val="24"/>
        </w:rPr>
        <w:t xml:space="preserve">. </w:t>
      </w:r>
    </w:p>
    <w:p>
      <w:pPr>
        <w:pStyle w:val="3"/>
        <w:spacing w:line="360" w:lineRule="auto"/>
        <w:rPr>
          <w:rFonts w:asciiTheme="majorBidi" w:hAnsiTheme="majorBidi"/>
          <w:i/>
          <w:iCs/>
          <w:color w:val="auto"/>
          <w:sz w:val="24"/>
          <w:szCs w:val="24"/>
        </w:rPr>
      </w:pPr>
      <w:bookmarkStart w:id="9" w:name="_Toc158808530"/>
      <w:r>
        <w:rPr>
          <w:rFonts w:asciiTheme="majorBidi" w:hAnsiTheme="majorBidi"/>
          <w:i/>
          <w:iCs/>
          <w:color w:val="auto"/>
          <w:sz w:val="24"/>
          <w:szCs w:val="24"/>
        </w:rPr>
        <w:t>External Factors</w:t>
      </w:r>
      <w:bookmarkEnd w:id="9"/>
    </w:p>
    <w:p>
      <w:pPr>
        <w:pStyle w:val="4"/>
        <w:numPr>
          <w:ilvl w:val="0"/>
          <w:numId w:val="2"/>
        </w:numPr>
        <w:spacing w:line="360" w:lineRule="auto"/>
        <w:rPr>
          <w:rFonts w:asciiTheme="majorBidi" w:hAnsiTheme="majorBidi"/>
          <w:color w:val="auto"/>
        </w:rPr>
      </w:pPr>
      <w:bookmarkStart w:id="10" w:name="_Toc158808531"/>
      <w:r>
        <w:rPr>
          <w:rFonts w:asciiTheme="majorBidi" w:hAnsiTheme="majorBidi"/>
          <w:color w:val="auto"/>
        </w:rPr>
        <w:t>Regulatory Environment</w:t>
      </w:r>
      <w:bookmarkEnd w:id="10"/>
    </w:p>
    <w:p>
      <w:pPr>
        <w:spacing w:line="360" w:lineRule="auto"/>
        <w:rPr>
          <w:rFonts w:asciiTheme="majorBidi" w:hAnsiTheme="majorBidi" w:cstheme="majorBidi"/>
          <w:sz w:val="24"/>
          <w:szCs w:val="24"/>
        </w:rPr>
      </w:pPr>
      <w:r>
        <w:rPr>
          <w:rFonts w:asciiTheme="majorBidi" w:hAnsiTheme="majorBidi" w:cstheme="majorBidi"/>
          <w:sz w:val="24"/>
          <w:szCs w:val="24"/>
        </w:rPr>
        <w:t xml:space="preserve">The operations of accounting and finance professions are subjected to high regulations that require compliance with two central bodies: the SEC and the FASB. Adopting revised regulations and standards of compliance creates a sweeping effect on the organization, functioning, and strategy. </w:t>
      </w:r>
      <w:bookmarkStart w:id="11" w:name="_Hlk158807940"/>
      <w:r>
        <w:rPr>
          <w:rFonts w:asciiTheme="majorBidi" w:hAnsiTheme="majorBidi" w:cstheme="majorBidi"/>
          <w:sz w:val="24"/>
          <w:szCs w:val="24"/>
        </w:rPr>
        <w:t>In many ways, SOX is among the strictest control measures for financial reporting and internal controls following the corporate scandals</w:t>
      </w:r>
      <w:bookmarkEnd w:id="11"/>
      <w:r>
        <w:rPr>
          <w:rFonts w:asciiTheme="majorBidi" w:hAnsiTheme="majorBidi" w:cstheme="majorBidi"/>
          <w:sz w:val="24"/>
          <w:szCs w:val="24"/>
        </w:rPr>
        <w:t xml:space="preserve"> </w:t>
      </w:r>
      <w:r>
        <w:rPr>
          <w:rFonts w:asciiTheme="majorBidi" w:hAnsiTheme="majorBidi" w:cstheme="majorBidi"/>
          <w:sz w:val="24"/>
          <w:szCs w:val="24"/>
          <w:shd w:val="clear" w:color="auto" w:fill="FFFFFF"/>
        </w:rPr>
        <w:t>(Kenton, 2024)</w:t>
      </w:r>
      <w:r>
        <w:rPr>
          <w:rFonts w:asciiTheme="majorBidi" w:hAnsiTheme="majorBidi" w:cstheme="majorBidi"/>
          <w:sz w:val="24"/>
          <w:szCs w:val="24"/>
        </w:rPr>
        <w:t>. Organizations operating in the sector must watch regulatory developments and changing directives to imbibe the appropriate modifications to their internal processes. This way, they will be supporting the effective management of risks that can be legal or reputational.</w:t>
      </w:r>
    </w:p>
    <w:p>
      <w:pPr>
        <w:pStyle w:val="4"/>
        <w:numPr>
          <w:ilvl w:val="0"/>
          <w:numId w:val="2"/>
        </w:numPr>
        <w:spacing w:line="360" w:lineRule="auto"/>
        <w:rPr>
          <w:rFonts w:asciiTheme="majorBidi" w:hAnsiTheme="majorBidi"/>
          <w:color w:val="auto"/>
        </w:rPr>
      </w:pPr>
      <w:bookmarkStart w:id="12" w:name="_Toc158808532"/>
      <w:r>
        <w:rPr>
          <w:rFonts w:asciiTheme="majorBidi" w:hAnsiTheme="majorBidi"/>
          <w:color w:val="auto"/>
        </w:rPr>
        <w:t>Technological Advancements</w:t>
      </w:r>
      <w:bookmarkEnd w:id="12"/>
    </w:p>
    <w:p>
      <w:pPr>
        <w:spacing w:line="360" w:lineRule="auto"/>
        <w:rPr>
          <w:rFonts w:asciiTheme="majorBidi" w:hAnsiTheme="majorBidi" w:cstheme="majorBidi"/>
          <w:sz w:val="24"/>
          <w:szCs w:val="24"/>
        </w:rPr>
      </w:pPr>
      <w:r>
        <w:rPr>
          <w:rFonts w:asciiTheme="majorBidi" w:hAnsiTheme="majorBidi" w:cstheme="majorBidi"/>
          <w:sz w:val="24"/>
          <w:szCs w:val="24"/>
        </w:rPr>
        <w:t xml:space="preserve">With the advent of technologies that are more incredible and at an astonishing pace, the accounting and financial environment significantly shifts, causing both opportunities and risks to be presented to organizations. Integrating fintech solutions, applications for automation tools, and artificial intelligence (AI) treatment models has revolutionised processes like data analysis, risk evaluation, and financial forecasting </w:t>
      </w:r>
      <w:r>
        <w:rPr>
          <w:rFonts w:asciiTheme="majorBidi" w:hAnsiTheme="majorBidi" w:cstheme="majorBidi"/>
          <w:sz w:val="24"/>
          <w:szCs w:val="24"/>
          <w:shd w:val="clear" w:color="auto" w:fill="FFFFFF"/>
        </w:rPr>
        <w:t>(Yan, 2023)</w:t>
      </w:r>
      <w:r>
        <w:rPr>
          <w:rFonts w:asciiTheme="majorBidi" w:hAnsiTheme="majorBidi" w:cstheme="majorBidi"/>
          <w:sz w:val="24"/>
          <w:szCs w:val="24"/>
        </w:rPr>
        <w:t xml:space="preserve">. Blockchain technology, especially, is significant, and it is revolutionary in this sector, offering transparent and secure transaction capabilities (which help in processing auditing as well as regulation). </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Companies that accept technological advances as part of their business strategies will likely excel over their competitors through intelligent operations, optimized decision-making, and creative and effective client solutions. On the other hand, technology-related dangers show themselves in the form of cybersecurity risks and the necessity of further qualification to adapt to the trends in tech advancement </w:t>
      </w:r>
      <w:r>
        <w:rPr>
          <w:rFonts w:asciiTheme="majorBidi" w:hAnsiTheme="majorBidi" w:cstheme="majorBidi"/>
          <w:sz w:val="24"/>
          <w:szCs w:val="24"/>
          <w:shd w:val="clear" w:color="auto" w:fill="FFFFFF"/>
        </w:rPr>
        <w:t>(Perifanis and Kitsios, 2023)</w:t>
      </w:r>
      <w:r>
        <w:rPr>
          <w:rFonts w:asciiTheme="majorBidi" w:hAnsiTheme="majorBidi" w:cstheme="majorBidi"/>
          <w:sz w:val="24"/>
          <w:szCs w:val="24"/>
        </w:rPr>
        <w:t xml:space="preserve">. </w:t>
      </w:r>
    </w:p>
    <w:p>
      <w:pPr>
        <w:pStyle w:val="2"/>
        <w:spacing w:line="360" w:lineRule="auto"/>
        <w:jc w:val="center"/>
        <w:rPr>
          <w:rFonts w:asciiTheme="majorBidi" w:hAnsiTheme="majorBidi"/>
          <w:b/>
          <w:bCs/>
          <w:color w:val="auto"/>
          <w:sz w:val="24"/>
          <w:szCs w:val="24"/>
        </w:rPr>
      </w:pPr>
      <w:bookmarkStart w:id="13" w:name="_Toc158808533"/>
      <w:r>
        <w:rPr>
          <w:rFonts w:asciiTheme="majorBidi" w:hAnsiTheme="majorBidi"/>
          <w:b/>
          <w:bCs/>
          <w:color w:val="auto"/>
          <w:sz w:val="24"/>
          <w:szCs w:val="24"/>
        </w:rPr>
        <w:t>Supporting Factors with Examples</w:t>
      </w:r>
      <w:bookmarkEnd w:id="13"/>
    </w:p>
    <w:p>
      <w:pPr>
        <w:spacing w:line="360" w:lineRule="auto"/>
        <w:rPr>
          <w:rFonts w:asciiTheme="majorBidi" w:hAnsiTheme="majorBidi" w:cstheme="majorBidi"/>
          <w:sz w:val="24"/>
          <w:szCs w:val="24"/>
        </w:rPr>
      </w:pPr>
      <w:r>
        <w:rPr>
          <w:rFonts w:asciiTheme="majorBidi" w:hAnsiTheme="majorBidi" w:cstheme="majorBidi"/>
          <w:sz w:val="24"/>
          <w:szCs w:val="24"/>
        </w:rPr>
        <w:t xml:space="preserve">The organizational culture and unwritten rules for segmented silos are the essential things that Deloitte, which is one of the "Big Four" accounting firms, shows how they form the particular organization principles. Through a culture of inclusivity and diversification, Deloitte encourages creating a diverse and inclusive work environment. Making diversity and inclusion initiatives a priority for Deloitte will help them understand the different traits and the greatness among the employees and, in turn, make them feel comfortable, wanted and supported </w:t>
      </w:r>
      <w:r>
        <w:rPr>
          <w:rFonts w:asciiTheme="majorBidi" w:hAnsiTheme="majorBidi" w:cstheme="majorBidi"/>
          <w:sz w:val="24"/>
          <w:szCs w:val="24"/>
          <w:shd w:val="clear" w:color="auto" w:fill="FFFFFF"/>
        </w:rPr>
        <w:t>(Deloitte United Kingdom, 2022)</w:t>
      </w:r>
      <w:r>
        <w:rPr>
          <w:rFonts w:asciiTheme="majorBidi" w:hAnsiTheme="majorBidi" w:cstheme="majorBidi"/>
          <w:sz w:val="24"/>
          <w:szCs w:val="24"/>
        </w:rPr>
        <w:t>. Thus, this all-inclusive culture helps bring in new and innovative ideas among the employees and enables collaboration and creativity in different teams, which results in innovation.</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The imposition of GDPR in the European Union is a prime example of what can be considered an external factor that has radically shaped how financial institutions operating in the European area come to handle their processes and business regarding data privacy. GDPR requires data privacy and protection to comply with its demands and forces companies to redesign their cybersecurity metrics and data management models </w:t>
      </w:r>
      <w:r>
        <w:rPr>
          <w:rFonts w:asciiTheme="majorBidi" w:hAnsiTheme="majorBidi" w:cstheme="majorBidi"/>
          <w:sz w:val="24"/>
          <w:szCs w:val="24"/>
          <w:shd w:val="clear" w:color="auto" w:fill="FFFFFF"/>
        </w:rPr>
        <w:t>(Hoofnagle, Sloot and Borgesius, 2019)</w:t>
      </w:r>
      <w:r>
        <w:rPr>
          <w:rFonts w:asciiTheme="majorBidi" w:hAnsiTheme="majorBidi" w:cstheme="majorBidi"/>
          <w:sz w:val="24"/>
          <w:szCs w:val="24"/>
        </w:rPr>
        <w:t xml:space="preserve">. For example, some notable players, such as banks and financial service institutions, particularly Barbay and HSBC, have substantially upgraded their data privacy policies and security infrastructure to minimise the risk of data breaches and keep customer information safeguarded. </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Through conformity with GDPR specifications, such organizations indicate that they take the protection of customer privacy seriously and are ready to deal with usual regulatory matters. On the contrary, compliance with GDPR inspires trust and reliability among the customer groups, therefore assessing the respectability and credibility of institutions to the benefit of stakeholders </w:t>
      </w:r>
      <w:r>
        <w:rPr>
          <w:rFonts w:asciiTheme="majorBidi" w:hAnsiTheme="majorBidi" w:cstheme="majorBidi"/>
          <w:sz w:val="24"/>
          <w:szCs w:val="24"/>
          <w:shd w:val="clear" w:color="auto" w:fill="FFFFFF"/>
        </w:rPr>
        <w:t>(Sahoo, 2024)</w:t>
      </w:r>
      <w:r>
        <w:rPr>
          <w:rFonts w:asciiTheme="majorBidi" w:hAnsiTheme="majorBidi" w:cstheme="majorBidi"/>
          <w:sz w:val="24"/>
          <w:szCs w:val="24"/>
        </w:rPr>
        <w:t>. Ultimately, GDPR and other internal regulatory factors highlight the crucial role of external regulatory factors in determining the impact of organizational practices within the accounting and financing industries.</w:t>
      </w:r>
    </w:p>
    <w:p>
      <w:pPr>
        <w:pStyle w:val="2"/>
        <w:spacing w:line="360" w:lineRule="auto"/>
        <w:jc w:val="center"/>
        <w:rPr>
          <w:rFonts w:asciiTheme="majorBidi" w:hAnsiTheme="majorBidi"/>
          <w:b/>
          <w:bCs/>
          <w:color w:val="auto"/>
          <w:sz w:val="24"/>
          <w:szCs w:val="24"/>
        </w:rPr>
      </w:pPr>
      <w:bookmarkStart w:id="14" w:name="_Toc158808534"/>
      <w:r>
        <w:rPr>
          <w:rFonts w:asciiTheme="majorBidi" w:hAnsiTheme="majorBidi"/>
          <w:b/>
          <w:bCs/>
          <w:color w:val="auto"/>
          <w:sz w:val="24"/>
          <w:szCs w:val="24"/>
        </w:rPr>
        <w:t>Conclusion</w:t>
      </w:r>
      <w:bookmarkEnd w:id="14"/>
    </w:p>
    <w:p>
      <w:pPr>
        <w:spacing w:line="360" w:lineRule="auto"/>
        <w:rPr>
          <w:rFonts w:hint="default" w:asciiTheme="majorBidi" w:hAnsiTheme="majorBidi" w:cstheme="majorBidi"/>
          <w:sz w:val="24"/>
          <w:szCs w:val="24"/>
          <w:lang w:val="en-US"/>
        </w:rPr>
      </w:pPr>
      <w:r>
        <w:rPr>
          <w:rFonts w:asciiTheme="majorBidi" w:hAnsiTheme="majorBidi" w:cstheme="majorBidi"/>
          <w:sz w:val="24"/>
          <w:szCs w:val="24"/>
        </w:rPr>
        <w:t xml:space="preserve">To summarize, there are significant management theories, including scientific management and contingency theory; they help us comprehend and deal with the hurdles that are specific to the accounting and financial sector's complexity. According to these theories, organizations can make the most out of their operations. Their operations can be way more effective and create </w:t>
      </w:r>
      <w:r>
        <w:rPr>
          <w:rFonts w:hint="default" w:asciiTheme="majorBidi" w:hAnsiTheme="majorBidi"/>
          <w:sz w:val="24"/>
          <w:szCs w:val="24"/>
        </w:rPr>
        <w:t>new solutions and innovations. Furthermore, the scrutiny of the causes of complexity including the internal and external elements such as organization culture, people and human resources, regulatory environments, and technological escalation will help businesses avert from challenges and thus take up available opportunities for business growth</w:t>
      </w:r>
      <w:r>
        <w:rPr>
          <w:rFonts w:hint="default" w:asciiTheme="majorBidi" w:hAnsiTheme="majorBidi"/>
          <w:sz w:val="24"/>
          <w:szCs w:val="24"/>
          <w:lang w:val="en-US"/>
        </w:rPr>
        <w:t>.</w:t>
      </w:r>
    </w:p>
    <w:p>
      <w:pPr>
        <w:spacing w:line="360" w:lineRule="auto"/>
        <w:rPr>
          <w:rFonts w:hint="default" w:ascii="Times New Roman" w:hAnsi="Times New Roman"/>
          <w:sz w:val="24"/>
          <w:szCs w:val="24"/>
        </w:rPr>
      </w:pPr>
      <w:r>
        <w:rPr>
          <w:rFonts w:hint="default" w:ascii="Times New Roman" w:hAnsi="Times New Roman"/>
          <w:sz w:val="24"/>
          <w:szCs w:val="24"/>
        </w:rPr>
        <w:t>Seeing the accounting and finance field is undergoing significant change due to the reorganizing of the market as well as the emergence of fresh technologies, businesses could consider the transformations a chance that makes them agile and strong. The use of diverse strategies is a vital way for organizations to be proactive with the upcoming changes in the business environment, enabling them to be ahead of the curve and to respond quickly to the trends that emerge.</w:t>
      </w:r>
    </w:p>
    <w:p>
      <w:pPr>
        <w:spacing w:line="360" w:lineRule="auto"/>
        <w:rPr>
          <w:rFonts w:ascii="Times New Roman" w:hAnsi="Times New Roman" w:cs="Times New Roman"/>
          <w:sz w:val="24"/>
          <w:szCs w:val="24"/>
        </w:rPr>
      </w:pPr>
      <w:bookmarkStart w:id="16" w:name="_GoBack"/>
      <w:bookmarkEnd w:id="16"/>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jc w:val="left"/>
        <w:rPr>
          <w:rFonts w:ascii="Times New Roman" w:hAnsi="Times New Roman" w:cs="Times New Roman"/>
          <w:sz w:val="24"/>
          <w:szCs w:val="24"/>
        </w:rPr>
      </w:pPr>
      <w:r>
        <w:rPr>
          <w:rFonts w:ascii="Times New Roman" w:hAnsi="Times New Roman" w:cs="Times New Roman"/>
          <w:sz w:val="24"/>
          <w:szCs w:val="24"/>
        </w:rPr>
        <w:br w:type="page"/>
      </w:r>
    </w:p>
    <w:p>
      <w:pPr>
        <w:pStyle w:val="2"/>
        <w:spacing w:line="360" w:lineRule="auto"/>
        <w:jc w:val="center"/>
        <w:rPr>
          <w:rFonts w:ascii="Times New Roman" w:hAnsi="Times New Roman" w:cs="Times New Roman"/>
          <w:b/>
          <w:bCs/>
          <w:color w:val="auto"/>
          <w:sz w:val="24"/>
          <w:szCs w:val="24"/>
        </w:rPr>
      </w:pPr>
      <w:bookmarkStart w:id="15" w:name="_Toc158808535"/>
      <w:r>
        <w:rPr>
          <w:rFonts w:ascii="Times New Roman" w:hAnsi="Times New Roman" w:cs="Times New Roman"/>
          <w:b/>
          <w:bCs/>
          <w:color w:val="auto"/>
          <w:sz w:val="24"/>
          <w:szCs w:val="24"/>
        </w:rPr>
        <w:t>References</w:t>
      </w:r>
      <w:bookmarkEnd w:id="15"/>
    </w:p>
    <w:p>
      <w:pPr>
        <w:pStyle w:val="10"/>
        <w:spacing w:before="0" w:beforeAutospacing="0" w:after="240" w:afterAutospacing="0" w:line="360" w:lineRule="auto"/>
        <w:ind w:left="720" w:hanging="720"/>
        <w:rPr>
          <w:color w:val="000000"/>
        </w:rPr>
      </w:pPr>
      <w:r>
        <w:rPr>
          <w:color w:val="000000"/>
        </w:rPr>
        <w:t>Baron, D.P. (2024). </w:t>
      </w:r>
      <w:r>
        <w:rPr>
          <w:i/>
          <w:iCs/>
          <w:color w:val="000000"/>
        </w:rPr>
        <w:t>Business and Its Environment</w:t>
      </w:r>
      <w:r>
        <w:rPr>
          <w:color w:val="000000"/>
        </w:rPr>
        <w:t>. [online] Google Books. Available at: https://books.google.com.pk/books/about/Business_and_Its_Environment.html?id=lWu1AAAAIAAJ&amp;redir_esc=y [Accessed 12 Feb. 2024].</w:t>
      </w:r>
    </w:p>
    <w:p>
      <w:pPr>
        <w:pStyle w:val="10"/>
        <w:spacing w:before="0" w:beforeAutospacing="0" w:after="240" w:afterAutospacing="0" w:line="360" w:lineRule="auto"/>
        <w:ind w:left="720" w:hanging="720"/>
        <w:rPr>
          <w:color w:val="000000"/>
        </w:rPr>
      </w:pPr>
      <w:r>
        <w:rPr>
          <w:color w:val="000000"/>
        </w:rPr>
        <w:t>Catalano, T.J. (2024). </w:t>
      </w:r>
      <w:r>
        <w:rPr>
          <w:i/>
          <w:iCs/>
          <w:color w:val="000000"/>
        </w:rPr>
        <w:t>Importance and Components of the Financial Services Sector</w:t>
      </w:r>
      <w:r>
        <w:rPr>
          <w:color w:val="000000"/>
        </w:rPr>
        <w:t>. [online] Investopedia. Available at: https://www.investopedia.com/ask/answers/030315/what-financial-services-sector.asp [Accessed 12 Feb. 2024].</w:t>
      </w:r>
    </w:p>
    <w:p>
      <w:pPr>
        <w:pStyle w:val="10"/>
        <w:spacing w:before="0" w:beforeAutospacing="0" w:after="240" w:afterAutospacing="0" w:line="360" w:lineRule="auto"/>
        <w:ind w:left="720" w:hanging="720"/>
        <w:rPr>
          <w:color w:val="000000"/>
        </w:rPr>
      </w:pPr>
      <w:r>
        <w:rPr>
          <w:color w:val="000000"/>
        </w:rPr>
        <w:t>Clegg, S.R., Kornberger, M., Pitsis, T.S. and Mount, M. (2019). </w:t>
      </w:r>
      <w:r>
        <w:rPr>
          <w:i/>
          <w:iCs/>
          <w:color w:val="000000"/>
        </w:rPr>
        <w:t>Managing and OOrganizations</w:t>
      </w:r>
      <w:r>
        <w:rPr>
          <w:color w:val="000000"/>
        </w:rPr>
        <w:t xml:space="preserve"> [online] Google Books. Available at: https://books.google.com.pk/books/about/Managing_and_Organizations.html?id=coxtDwAAQBAJ&amp;redir_esc=y [Accessed 12 Feb. 2024].</w:t>
      </w:r>
    </w:p>
    <w:p>
      <w:pPr>
        <w:pStyle w:val="10"/>
        <w:spacing w:before="0" w:beforeAutospacing="0" w:after="240" w:afterAutospacing="0" w:line="360" w:lineRule="auto"/>
        <w:ind w:left="720" w:hanging="720"/>
        <w:rPr>
          <w:color w:val="000000"/>
        </w:rPr>
      </w:pPr>
      <w:r>
        <w:rPr>
          <w:color w:val="000000"/>
        </w:rPr>
        <w:t>Daouk, M. (2024). </w:t>
      </w:r>
      <w:r>
        <w:rPr>
          <w:i/>
          <w:iCs/>
          <w:color w:val="000000"/>
        </w:rPr>
        <w:t>LinkedIn</w:t>
      </w:r>
      <w:r>
        <w:rPr>
          <w:color w:val="000000"/>
        </w:rPr>
        <w:t>. [online] Linkedin.com. Available at: https://www.linkedin.com/pulse/managing-risks-times-economic-uncertainty-mirna-daouk/ [Accessed 12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Deloitte. (2016). </w:t>
      </w:r>
      <w:r>
        <w:rPr>
          <w:rFonts w:ascii="Times New Roman" w:hAnsi="Times New Roman" w:eastAsia="Times New Roman" w:cs="Times New Roman"/>
          <w:i/>
          <w:iCs/>
          <w:color w:val="000000"/>
          <w:sz w:val="24"/>
          <w:szCs w:val="24"/>
        </w:rPr>
        <w:t>Learning and development</w:t>
      </w:r>
      <w:r>
        <w:rPr>
          <w:rFonts w:ascii="Times New Roman" w:hAnsi="Times New Roman" w:eastAsia="Times New Roman" w:cs="Times New Roman"/>
          <w:color w:val="000000"/>
          <w:sz w:val="24"/>
          <w:szCs w:val="24"/>
        </w:rPr>
        <w:t>. [online] Available at: https://www2.deloitte.com/cn/en/pages/careers/articles/learning-and-development.html [Accessed 14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Deloitte United Kingdom. (2022). </w:t>
      </w:r>
      <w:r>
        <w:rPr>
          <w:rFonts w:ascii="Times New Roman" w:hAnsi="Times New Roman" w:eastAsia="Times New Roman" w:cs="Times New Roman"/>
          <w:i/>
          <w:iCs/>
          <w:color w:val="000000"/>
          <w:sz w:val="24"/>
          <w:szCs w:val="24"/>
        </w:rPr>
        <w:t>Diversity &amp; Inclusion</w:t>
      </w:r>
      <w:r>
        <w:rPr>
          <w:rFonts w:ascii="Times New Roman" w:hAnsi="Times New Roman" w:eastAsia="Times New Roman" w:cs="Times New Roman"/>
          <w:color w:val="000000"/>
          <w:sz w:val="24"/>
          <w:szCs w:val="24"/>
        </w:rPr>
        <w:t>. [online] Available at: https://www2.deloitte.com/uk/en/pages/careers/articles/careers-diversity-and-inclusion.html [Accessed 14 Feb. 2024].</w:t>
      </w:r>
    </w:p>
    <w:p>
      <w:pPr>
        <w:pStyle w:val="10"/>
        <w:spacing w:before="0" w:beforeAutospacing="0" w:after="240" w:afterAutospacing="0" w:line="360" w:lineRule="auto"/>
        <w:ind w:left="720" w:hanging="720"/>
        <w:rPr>
          <w:color w:val="000000"/>
        </w:rPr>
      </w:pPr>
      <w:r>
        <w:rPr>
          <w:color w:val="000000"/>
        </w:rPr>
        <w:t>EY Kosovo (2022). </w:t>
      </w:r>
      <w:r>
        <w:rPr>
          <w:i/>
          <w:iCs/>
          <w:color w:val="000000"/>
        </w:rPr>
        <w:t>EY Kosovo</w:t>
      </w:r>
      <w:r>
        <w:rPr>
          <w:color w:val="000000"/>
        </w:rPr>
        <w:t>. [online] Available at: https://assets.ey.com/content/dam/ey-sites/ey-com/en_al/ey-ransparency-report-kosovo-2022.pdf [Accessed 12 Feb. 2024].</w:t>
      </w:r>
    </w:p>
    <w:p>
      <w:pPr>
        <w:pStyle w:val="10"/>
        <w:spacing w:before="0" w:beforeAutospacing="0" w:after="240" w:afterAutospacing="0" w:line="360" w:lineRule="auto"/>
        <w:ind w:left="720" w:hanging="720"/>
        <w:rPr>
          <w:color w:val="000000"/>
        </w:rPr>
      </w:pPr>
      <w:r>
        <w:rPr>
          <w:color w:val="000000"/>
        </w:rPr>
        <w:t>Franklin, J. (2015). </w:t>
      </w:r>
      <w:r>
        <w:rPr>
          <w:i/>
          <w:iCs/>
          <w:color w:val="000000"/>
        </w:rPr>
        <w:t>Financial Times</w:t>
      </w:r>
      <w:r>
        <w:rPr>
          <w:color w:val="000000"/>
        </w:rPr>
        <w:t>. [online] @FinancialTimes. Available at: https://www.ft.com/content/54ebf20e-406a-4af8-919b-8a1ab8a5dedf [Accessed 12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Hoofnagle, C.J., Sloot, B. van der and Borgesius, F.Z. (2019). The European Union general data protection regulation: what it is and what it means*</w:t>
      </w:r>
      <w:r>
        <w:rPr>
          <w:rFonts w:ascii="Times New Roman" w:hAnsi="Times New Roman" w:eastAsia="Times New Roman" w:cs="Times New Roman"/>
          <w:i/>
          <w:iCs/>
          <w:color w:val="000000"/>
          <w:sz w:val="24"/>
          <w:szCs w:val="24"/>
        </w:rPr>
        <w:t>—Information &amp; Communications Technology Law</w:t>
      </w:r>
      <w:r>
        <w:rPr>
          <w:rFonts w:ascii="Times New Roman" w:hAnsi="Times New Roman" w:eastAsia="Times New Roman" w:cs="Times New Roman"/>
          <w:color w:val="000000"/>
          <w:sz w:val="24"/>
          <w:szCs w:val="24"/>
        </w:rPr>
        <w:t>. [online] doi:https://doi.org/10.1080//13600834.2019.1573501.</w:t>
      </w:r>
    </w:p>
    <w:p>
      <w:pPr>
        <w:pStyle w:val="10"/>
        <w:spacing w:before="0" w:beforeAutospacing="0" w:after="240" w:afterAutospacing="0" w:line="360" w:lineRule="auto"/>
        <w:ind w:left="720" w:hanging="720"/>
        <w:rPr>
          <w:color w:val="000000"/>
        </w:rPr>
      </w:pPr>
      <w:r>
        <w:rPr>
          <w:color w:val="000000"/>
        </w:rPr>
        <w:t>Kaplan, R.S. and Mikes, A. (2014). </w:t>
      </w:r>
      <w:r>
        <w:rPr>
          <w:i/>
          <w:iCs/>
          <w:color w:val="000000"/>
        </w:rPr>
        <w:t>Towards a Contingency Theory of Enterprise Risk Management</w:t>
      </w:r>
      <w:r>
        <w:rPr>
          <w:color w:val="000000"/>
        </w:rPr>
        <w:t>. [online] ResearchGate. Available at: https://www.researchgate.net/publication/264166130_Towards_a_Contingency_Theory_of_Enterprise_Risk_Management [Accessed 12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Kenton, W. (2024). </w:t>
      </w:r>
      <w:r>
        <w:rPr>
          <w:rFonts w:ascii="Times New Roman" w:hAnsi="Times New Roman" w:eastAsia="Times New Roman" w:cs="Times New Roman"/>
          <w:i/>
          <w:iCs/>
          <w:color w:val="000000"/>
          <w:sz w:val="24"/>
          <w:szCs w:val="24"/>
        </w:rPr>
        <w:t>Sarbanes-Oxley Act: What It Does to Protect Investors</w:t>
      </w:r>
      <w:r>
        <w:rPr>
          <w:rFonts w:ascii="Times New Roman" w:hAnsi="Times New Roman" w:eastAsia="Times New Roman" w:cs="Times New Roman"/>
          <w:color w:val="000000"/>
          <w:sz w:val="24"/>
          <w:szCs w:val="24"/>
        </w:rPr>
        <w:t>. [online] Investopedia. Available at: https://www.investopedia.com/terms/s/sarbanesoxleyact.asp [Accessed 14 Feb. 2024].</w:t>
      </w:r>
    </w:p>
    <w:p>
      <w:pPr>
        <w:pStyle w:val="10"/>
        <w:spacing w:before="0" w:beforeAutospacing="0" w:after="240" w:afterAutospacing="0" w:line="360" w:lineRule="auto"/>
        <w:ind w:left="720" w:hanging="720"/>
        <w:rPr>
          <w:color w:val="000000"/>
        </w:rPr>
      </w:pPr>
      <w:r>
        <w:rPr>
          <w:color w:val="000000"/>
        </w:rPr>
        <w:t>Lumen Learning (2024). </w:t>
      </w:r>
      <w:r>
        <w:rPr>
          <w:i/>
          <w:iCs/>
          <w:color w:val="000000"/>
        </w:rPr>
        <w:t>Scientific Management Theory | Introduction to Business</w:t>
      </w:r>
      <w:r>
        <w:rPr>
          <w:color w:val="000000"/>
        </w:rPr>
        <w:t>. [online] Lumenlearning.com. Available at: https://courses.lumenlearning.com/wm-introductiontobusiness/chapter/scientific-management-theory/ [Accessed 12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Martin, J. (2024). </w:t>
      </w:r>
      <w:r>
        <w:rPr>
          <w:rFonts w:ascii="Times New Roman" w:hAnsi="Times New Roman" w:eastAsia="Times New Roman" w:cs="Times New Roman"/>
          <w:i/>
          <w:iCs/>
          <w:color w:val="000000"/>
          <w:sz w:val="24"/>
          <w:szCs w:val="24"/>
        </w:rPr>
        <w:t>LinkedIn</w:t>
      </w:r>
      <w:r>
        <w:rPr>
          <w:rFonts w:ascii="Times New Roman" w:hAnsi="Times New Roman" w:eastAsia="Times New Roman" w:cs="Times New Roman"/>
          <w:color w:val="000000"/>
          <w:sz w:val="24"/>
          <w:szCs w:val="24"/>
        </w:rPr>
        <w:t>. [online] Linkedin.com. Available at: https://www.linkedin.com/pulse/organizational-culture-how-enron-did-wrong-jason-martin-mba/ [Accessed 14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Perifanis, N.-A. and Kitsios, F. (2023). Investigating the Influence of Artificial Intelligence on Business Value in the Digital Era of Strategy: A Literature Review. </w:t>
      </w:r>
      <w:r>
        <w:rPr>
          <w:rFonts w:ascii="Times New Roman" w:hAnsi="Times New Roman" w:eastAsia="Times New Roman" w:cs="Times New Roman"/>
          <w:i/>
          <w:iCs/>
          <w:color w:val="000000"/>
          <w:sz w:val="24"/>
          <w:szCs w:val="24"/>
        </w:rPr>
        <w:t>Information</w:t>
      </w:r>
      <w:r>
        <w:rPr>
          <w:rFonts w:ascii="Times New Roman" w:hAnsi="Times New Roman" w:eastAsia="Times New Roman" w:cs="Times New Roman"/>
          <w:color w:val="000000"/>
          <w:sz w:val="24"/>
          <w:szCs w:val="24"/>
        </w:rPr>
        <w:t>, [online] 14(2), pp.85–85. doi:https://doi.org/10.3390/info14020085.</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Reiners, B. (2021). </w:t>
      </w:r>
      <w:r>
        <w:rPr>
          <w:rFonts w:ascii="Times New Roman" w:hAnsi="Times New Roman" w:eastAsia="Times New Roman" w:cs="Times New Roman"/>
          <w:i/>
          <w:iCs/>
          <w:color w:val="000000"/>
          <w:sz w:val="24"/>
          <w:szCs w:val="24"/>
        </w:rPr>
        <w:t>12 Recruitment Strategies and Examples to Hire Top Talent</w:t>
      </w:r>
      <w:r>
        <w:rPr>
          <w:rFonts w:ascii="Times New Roman" w:hAnsi="Times New Roman" w:eastAsia="Times New Roman" w:cs="Times New Roman"/>
          <w:color w:val="000000"/>
          <w:sz w:val="24"/>
          <w:szCs w:val="24"/>
        </w:rPr>
        <w:t>. [online] Built In. Available at: https://builtin.com/recruiting/recruitment-strategies [Accessed 14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Sahoo, N. (2024). </w:t>
      </w:r>
      <w:r>
        <w:rPr>
          <w:rFonts w:ascii="Times New Roman" w:hAnsi="Times New Roman" w:eastAsia="Times New Roman" w:cs="Times New Roman"/>
          <w:i/>
          <w:iCs/>
          <w:color w:val="000000"/>
          <w:sz w:val="24"/>
          <w:szCs w:val="24"/>
        </w:rPr>
        <w:t>LinkedIn</w:t>
      </w:r>
      <w:r>
        <w:rPr>
          <w:rFonts w:ascii="Times New Roman" w:hAnsi="Times New Roman" w:eastAsia="Times New Roman" w:cs="Times New Roman"/>
          <w:color w:val="000000"/>
          <w:sz w:val="24"/>
          <w:szCs w:val="24"/>
        </w:rPr>
        <w:t>. [online] Linkedin.com. Available at: https://www.linkedin.com/pulse/gdpr-compliance-audit-evaluating-your-data-protection-narendra-sahoo/ [Accessed 14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Sayyed, A.H. (2024). </w:t>
      </w:r>
      <w:r>
        <w:rPr>
          <w:rFonts w:ascii="Times New Roman" w:hAnsi="Times New Roman" w:eastAsia="Times New Roman" w:cs="Times New Roman"/>
          <w:i/>
          <w:iCs/>
          <w:color w:val="000000"/>
          <w:sz w:val="24"/>
          <w:szCs w:val="24"/>
        </w:rPr>
        <w:t>LinkedIn</w:t>
      </w:r>
      <w:r>
        <w:rPr>
          <w:rFonts w:ascii="Times New Roman" w:hAnsi="Times New Roman" w:eastAsia="Times New Roman" w:cs="Times New Roman"/>
          <w:color w:val="000000"/>
          <w:sz w:val="24"/>
          <w:szCs w:val="24"/>
        </w:rPr>
        <w:t>. [online] Linkedin.com. Available at: https://www.linkedin.com/pulse/power-positive-corporate-behavior-trust-success-altaf-hussain-sayyed-/ [Accessed 14 Feb. 2024].</w:t>
      </w:r>
    </w:p>
    <w:p>
      <w:pPr>
        <w:pStyle w:val="10"/>
        <w:spacing w:before="0" w:beforeAutospacing="0" w:after="240" w:afterAutospacing="0" w:line="360" w:lineRule="auto"/>
        <w:ind w:left="720" w:hanging="720"/>
        <w:rPr>
          <w:color w:val="000000"/>
        </w:rPr>
      </w:pPr>
      <w:r>
        <w:rPr>
          <w:color w:val="000000"/>
        </w:rPr>
        <w:t>Sujan (2023). </w:t>
      </w:r>
      <w:r>
        <w:rPr>
          <w:i/>
          <w:iCs/>
          <w:color w:val="000000"/>
        </w:rPr>
        <w:t>What is Contingency Theory? Definition, Contributors, Variables, and Pros/Cons</w:t>
      </w:r>
      <w:r>
        <w:rPr>
          <w:color w:val="000000"/>
        </w:rPr>
        <w:t>. [online] note. Available at: https://tyonote.com/contingency-theory-of-management/ [Accessed 12 Feb. 2024].</w:t>
      </w:r>
    </w:p>
    <w:p>
      <w:pPr>
        <w:pStyle w:val="10"/>
        <w:spacing w:before="0" w:beforeAutospacing="0" w:after="240" w:afterAutospacing="0" w:line="360" w:lineRule="auto"/>
        <w:ind w:left="720" w:hanging="720"/>
        <w:rPr>
          <w:color w:val="000000"/>
        </w:rPr>
      </w:pPr>
      <w:r>
        <w:rPr>
          <w:color w:val="000000"/>
        </w:rPr>
        <w:t>Villanova University (2022). </w:t>
      </w:r>
      <w:r>
        <w:rPr>
          <w:i/>
          <w:iCs/>
          <w:color w:val="000000"/>
        </w:rPr>
        <w:t>Scientific Management Theory: Definition, History, Principles, Goals</w:t>
      </w:r>
      <w:r>
        <w:rPr>
          <w:color w:val="000000"/>
        </w:rPr>
        <w:t>. [online] Villanova University. Available at: https://www.villanovau.com/articles/leadership/scientific-management-theory-explained/ [Accessed 12 Feb. 2024].</w:t>
      </w:r>
    </w:p>
    <w:p>
      <w:pPr>
        <w:pStyle w:val="10"/>
        <w:spacing w:before="0" w:beforeAutospacing="0" w:after="240" w:afterAutospacing="0" w:line="360" w:lineRule="auto"/>
        <w:ind w:left="720" w:hanging="720"/>
        <w:rPr>
          <w:color w:val="000000"/>
        </w:rPr>
      </w:pPr>
      <w:r>
        <w:rPr>
          <w:color w:val="000000"/>
        </w:rPr>
        <w:t>Wrike (2023). </w:t>
      </w:r>
      <w:r>
        <w:rPr>
          <w:i/>
          <w:iCs/>
          <w:color w:val="000000"/>
        </w:rPr>
        <w:t>Scientific Management | Improving Workflows and Efficiency</w:t>
      </w:r>
      <w:r>
        <w:rPr>
          <w:color w:val="000000"/>
        </w:rPr>
        <w:t>. [online] Blog Wrike. Available at: https://www.wrike.com/blog/scientific-management-to-improve-workflows/ [Accessed 12 Feb. 2024].</w:t>
      </w:r>
    </w:p>
    <w:p>
      <w:pPr>
        <w:spacing w:after="240" w:line="360" w:lineRule="auto"/>
        <w:ind w:left="720" w:hanging="7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Yan, X. (2023). Research on Financial Field Integrating Artificial Intelligence: Application Basis, Case Analysis, and SVR Model-Based Overnight. </w:t>
      </w:r>
      <w:r>
        <w:rPr>
          <w:rFonts w:ascii="Times New Roman" w:hAnsi="Times New Roman" w:eastAsia="Times New Roman" w:cs="Times New Roman"/>
          <w:i/>
          <w:iCs/>
          <w:color w:val="000000"/>
          <w:sz w:val="24"/>
          <w:szCs w:val="24"/>
        </w:rPr>
        <w:t>Applied Artificial Intelligence</w:t>
      </w:r>
      <w:r>
        <w:rPr>
          <w:rFonts w:ascii="Times New Roman" w:hAnsi="Times New Roman" w:eastAsia="Times New Roman" w:cs="Times New Roman"/>
          <w:color w:val="000000"/>
          <w:sz w:val="24"/>
          <w:szCs w:val="24"/>
        </w:rPr>
        <w:t>. [online] doi https://doi.org/10.1080//08839514.2023.2222258.</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644658374"/>
      <w:docPartObj>
        <w:docPartGallery w:val="AutoText"/>
      </w:docPartObj>
    </w:sdtPr>
    <w:sdtEndPr>
      <w:rPr>
        <w:rFonts w:ascii="Times New Roman" w:hAnsi="Times New Roman" w:cs="Times New Roman"/>
        <w:sz w:val="24"/>
        <w:szCs w:val="24"/>
      </w:rPr>
    </w:sdtEndPr>
    <w:sdtContent>
      <w:p>
        <w:pPr>
          <w:pStyle w:val="7"/>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0C3120"/>
    <w:multiLevelType w:val="multilevel"/>
    <w:tmpl w:val="0D0C312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5853BCB"/>
    <w:multiLevelType w:val="multilevel"/>
    <w:tmpl w:val="75853BC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FC6"/>
    <w:rsid w:val="000769B1"/>
    <w:rsid w:val="00083B1D"/>
    <w:rsid w:val="00090100"/>
    <w:rsid w:val="00194A1F"/>
    <w:rsid w:val="00242595"/>
    <w:rsid w:val="00280DD5"/>
    <w:rsid w:val="002B0DE6"/>
    <w:rsid w:val="002C5260"/>
    <w:rsid w:val="002D4957"/>
    <w:rsid w:val="003E1FC6"/>
    <w:rsid w:val="00422FF8"/>
    <w:rsid w:val="004B207E"/>
    <w:rsid w:val="004B277C"/>
    <w:rsid w:val="004C2098"/>
    <w:rsid w:val="006314FE"/>
    <w:rsid w:val="00707C97"/>
    <w:rsid w:val="007115F8"/>
    <w:rsid w:val="00742D63"/>
    <w:rsid w:val="00882C12"/>
    <w:rsid w:val="0088581B"/>
    <w:rsid w:val="008D56DB"/>
    <w:rsid w:val="009218F1"/>
    <w:rsid w:val="00C478EF"/>
    <w:rsid w:val="00C65960"/>
    <w:rsid w:val="00C82227"/>
    <w:rsid w:val="00CA3083"/>
    <w:rsid w:val="00D17896"/>
    <w:rsid w:val="00D8262C"/>
    <w:rsid w:val="00D875FE"/>
    <w:rsid w:val="00E00898"/>
    <w:rsid w:val="00E172D3"/>
    <w:rsid w:val="00EC1334"/>
    <w:rsid w:val="00ED1CDA"/>
    <w:rsid w:val="3A4838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jc w:val="both"/>
    </w:pPr>
    <w:rPr>
      <w:rFonts w:asciiTheme="minorHAnsi" w:hAnsiTheme="minorHAnsi" w:eastAsiaTheme="minorHAnsi" w:cstheme="minorBidi"/>
      <w:sz w:val="22"/>
      <w:szCs w:val="22"/>
      <w:lang w:val="en-US" w:eastAsia="en-US" w:bidi="ar-SA"/>
    </w:rPr>
  </w:style>
  <w:style w:type="paragraph" w:styleId="2">
    <w:name w:val="heading 1"/>
    <w:basedOn w:val="1"/>
    <w:next w:val="1"/>
    <w:link w:val="15"/>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6"/>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link w:val="20"/>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footer"/>
    <w:basedOn w:val="1"/>
    <w:link w:val="18"/>
    <w:unhideWhenUsed/>
    <w:qFormat/>
    <w:uiPriority w:val="99"/>
    <w:pPr>
      <w:tabs>
        <w:tab w:val="center" w:pos="4680"/>
        <w:tab w:val="right" w:pos="9360"/>
      </w:tabs>
      <w:spacing w:after="0" w:line="240" w:lineRule="auto"/>
    </w:pPr>
  </w:style>
  <w:style w:type="paragraph" w:styleId="8">
    <w:name w:val="header"/>
    <w:basedOn w:val="1"/>
    <w:link w:val="17"/>
    <w:unhideWhenUsed/>
    <w:qFormat/>
    <w:uiPriority w:val="99"/>
    <w:pPr>
      <w:tabs>
        <w:tab w:val="center" w:pos="4680"/>
        <w:tab w:val="right" w:pos="9360"/>
      </w:tabs>
      <w:spacing w:after="0" w:line="240" w:lineRule="auto"/>
    </w:pPr>
  </w:style>
  <w:style w:type="character" w:styleId="9">
    <w:name w:val="Hyperlink"/>
    <w:basedOn w:val="5"/>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1">
    <w:name w:val="toc 1"/>
    <w:basedOn w:val="1"/>
    <w:next w:val="1"/>
    <w:unhideWhenUsed/>
    <w:qFormat/>
    <w:uiPriority w:val="39"/>
    <w:pPr>
      <w:spacing w:after="100"/>
    </w:pPr>
  </w:style>
  <w:style w:type="paragraph" w:styleId="12">
    <w:name w:val="toc 2"/>
    <w:basedOn w:val="1"/>
    <w:next w:val="1"/>
    <w:unhideWhenUsed/>
    <w:qFormat/>
    <w:uiPriority w:val="39"/>
    <w:pPr>
      <w:spacing w:after="100"/>
      <w:ind w:left="220"/>
    </w:pPr>
  </w:style>
  <w:style w:type="paragraph" w:styleId="13">
    <w:name w:val="toc 3"/>
    <w:basedOn w:val="1"/>
    <w:next w:val="1"/>
    <w:unhideWhenUsed/>
    <w:qFormat/>
    <w:uiPriority w:val="39"/>
    <w:pPr>
      <w:spacing w:after="100"/>
      <w:ind w:left="440"/>
    </w:pPr>
  </w:style>
  <w:style w:type="paragraph" w:styleId="14">
    <w:name w:val="List Paragraph"/>
    <w:basedOn w:val="1"/>
    <w:qFormat/>
    <w:uiPriority w:val="34"/>
    <w:pPr>
      <w:ind w:left="720"/>
      <w:contextualSpacing/>
    </w:pPr>
  </w:style>
  <w:style w:type="character" w:customStyle="1" w:styleId="15">
    <w:name w:val="Heading 1 Char"/>
    <w:basedOn w:val="5"/>
    <w:link w:val="2"/>
    <w:uiPriority w:val="9"/>
    <w:rPr>
      <w:rFonts w:asciiTheme="majorHAnsi" w:hAnsiTheme="majorHAnsi" w:eastAsiaTheme="majorEastAsia" w:cstheme="majorBidi"/>
      <w:color w:val="2F5597" w:themeColor="accent1" w:themeShade="BF"/>
      <w:sz w:val="32"/>
      <w:szCs w:val="32"/>
    </w:rPr>
  </w:style>
  <w:style w:type="character" w:customStyle="1" w:styleId="16">
    <w:name w:val="Heading 2 Char"/>
    <w:basedOn w:val="5"/>
    <w:link w:val="3"/>
    <w:uiPriority w:val="9"/>
    <w:rPr>
      <w:rFonts w:asciiTheme="majorHAnsi" w:hAnsiTheme="majorHAnsi" w:eastAsiaTheme="majorEastAsia" w:cstheme="majorBidi"/>
      <w:color w:val="2F5597" w:themeColor="accent1" w:themeShade="BF"/>
      <w:sz w:val="26"/>
      <w:szCs w:val="26"/>
    </w:rPr>
  </w:style>
  <w:style w:type="character" w:customStyle="1" w:styleId="17">
    <w:name w:val="Header Char"/>
    <w:basedOn w:val="5"/>
    <w:link w:val="8"/>
    <w:qFormat/>
    <w:uiPriority w:val="99"/>
  </w:style>
  <w:style w:type="character" w:customStyle="1" w:styleId="18">
    <w:name w:val="Footer Char"/>
    <w:basedOn w:val="5"/>
    <w:link w:val="7"/>
    <w:qFormat/>
    <w:uiPriority w:val="99"/>
  </w:style>
  <w:style w:type="paragraph" w:customStyle="1" w:styleId="19">
    <w:name w:val="TOC Heading"/>
    <w:basedOn w:val="2"/>
    <w:next w:val="1"/>
    <w:unhideWhenUsed/>
    <w:qFormat/>
    <w:uiPriority w:val="39"/>
    <w:pPr>
      <w:outlineLvl w:val="9"/>
    </w:pPr>
  </w:style>
  <w:style w:type="character" w:customStyle="1" w:styleId="20">
    <w:name w:val="Heading 3 Char"/>
    <w:basedOn w:val="5"/>
    <w:link w:val="4"/>
    <w:qFormat/>
    <w:uiPriority w:val="9"/>
    <w:rPr>
      <w:rFonts w:asciiTheme="majorHAnsi" w:hAnsiTheme="majorHAnsi" w:eastAsiaTheme="majorEastAsia" w:cstheme="majorBidi"/>
      <w:color w:val="203864" w:themeColor="accent1" w:themeShade="8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D07FB-C536-46F6-9DF4-52C378C2FD1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3213</Words>
  <Characters>18315</Characters>
  <Lines>152</Lines>
  <Paragraphs>42</Paragraphs>
  <TotalTime>8</TotalTime>
  <ScaleCrop>false</ScaleCrop>
  <LinksUpToDate>false</LinksUpToDate>
  <CharactersWithSpaces>21486</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2024-02-14T08:09:00Z</dcterms:created>
  <dc:creator>Ahmed Ali</dc:creator>
  <cp:lastModifiedBy>FURQAN ALI</cp:lastModifiedBy>
  <dcterms:modified xsi:type="dcterms:W3CDTF">2024-02-15T08:53:34Z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059874397e5abf32952e6333e4c3fbc4137fd1ff8bb8ea404945f7de009e9c3f</vt:lpwstr>
  </property>
  <property fmtid="{D5CDD505-2E9C-101B-9397-08002B2CF9AE}" pid="3" name="KSOProductBuildVer">
    <vt:lpwstr>1033-12.2.0.13431</vt:lpwstr>
  </property>
  <property fmtid="{D5CDD505-2E9C-101B-9397-08002B2CF9AE}" pid="4" name="ICV">
    <vt:lpwstr>8D364458B8EF4664A69EDBAB56A72768_13</vt:lpwstr>
  </property>
</Properties>
</file>